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52545A" w14:paraId="0BA5D411" w14:textId="77777777" w:rsidTr="00CC1ADB">
        <w:tc>
          <w:tcPr>
            <w:tcW w:w="9889" w:type="dxa"/>
            <w:shd w:val="clear" w:color="auto" w:fill="auto"/>
          </w:tcPr>
          <w:p w14:paraId="62077399" w14:textId="6CEC9FE1" w:rsidR="0052545A" w:rsidRPr="00B406B1" w:rsidRDefault="000C5FC2" w:rsidP="00A4627D">
            <w:pPr>
              <w:pStyle w:val="Heading3"/>
              <w:outlineLvl w:val="2"/>
              <w:rPr>
                <w:rFonts w:asciiTheme="minorHAnsi" w:hAnsiTheme="minorHAnsi" w:cstheme="minorHAnsi"/>
                <w:sz w:val="34"/>
              </w:rPr>
            </w:pPr>
            <w:r>
              <w:rPr>
                <w:rFonts w:asciiTheme="minorHAnsi" w:hAnsiTheme="minorHAnsi" w:cstheme="minorHAnsi"/>
                <w:sz w:val="72"/>
              </w:rPr>
              <w:t>MINUTE</w:t>
            </w:r>
            <w:r w:rsidR="00D8287E" w:rsidRPr="00A4627D">
              <w:rPr>
                <w:rFonts w:asciiTheme="minorHAnsi" w:hAnsiTheme="minorHAnsi" w:cstheme="minorHAnsi"/>
                <w:sz w:val="72"/>
              </w:rPr>
              <w:t xml:space="preserve"> </w:t>
            </w:r>
            <w:r w:rsidR="00D44FD7" w:rsidRPr="00B406B1">
              <w:rPr>
                <w:rFonts w:asciiTheme="minorHAnsi" w:hAnsiTheme="minorHAnsi" w:cstheme="minorHAnsi"/>
                <w:sz w:val="34"/>
              </w:rPr>
              <w:t>M</w:t>
            </w:r>
            <w:r w:rsidR="00D8287E" w:rsidRPr="00B406B1">
              <w:rPr>
                <w:rFonts w:asciiTheme="minorHAnsi" w:hAnsiTheme="minorHAnsi" w:cstheme="minorHAnsi"/>
                <w:sz w:val="34"/>
              </w:rPr>
              <w:t xml:space="preserve">eeting date: </w:t>
            </w:r>
            <w:r w:rsidR="006D1FF5" w:rsidRPr="00B406B1">
              <w:rPr>
                <w:rFonts w:asciiTheme="minorHAnsi" w:hAnsiTheme="minorHAnsi" w:cstheme="minorHAnsi"/>
                <w:sz w:val="34"/>
              </w:rPr>
              <w:t xml:space="preserve"> </w:t>
            </w:r>
            <w:r w:rsidR="00F52239">
              <w:rPr>
                <w:rFonts w:asciiTheme="minorHAnsi" w:hAnsiTheme="minorHAnsi" w:cstheme="minorHAnsi"/>
                <w:sz w:val="34"/>
              </w:rPr>
              <w:t>Tues</w:t>
            </w:r>
            <w:r w:rsidR="00237A86">
              <w:rPr>
                <w:rFonts w:asciiTheme="minorHAnsi" w:hAnsiTheme="minorHAnsi" w:cstheme="minorHAnsi"/>
                <w:sz w:val="34"/>
              </w:rPr>
              <w:t xml:space="preserve">day </w:t>
            </w:r>
            <w:r w:rsidR="00F44DB8">
              <w:rPr>
                <w:rFonts w:asciiTheme="minorHAnsi" w:hAnsiTheme="minorHAnsi" w:cstheme="minorHAnsi"/>
                <w:sz w:val="34"/>
              </w:rPr>
              <w:t>25 July</w:t>
            </w:r>
            <w:r w:rsidR="00131E17">
              <w:rPr>
                <w:rFonts w:asciiTheme="minorHAnsi" w:hAnsiTheme="minorHAnsi" w:cstheme="minorHAnsi"/>
                <w:sz w:val="34"/>
              </w:rPr>
              <w:t xml:space="preserve"> 2023</w:t>
            </w:r>
          </w:p>
          <w:p w14:paraId="52EA9012" w14:textId="77777777" w:rsidR="00F918FA" w:rsidRPr="00D8287E" w:rsidRDefault="00F918FA" w:rsidP="00D8287E">
            <w:pPr>
              <w:pStyle w:val="Header"/>
              <w:rPr>
                <w:b/>
              </w:rPr>
            </w:pPr>
          </w:p>
        </w:tc>
      </w:tr>
    </w:tbl>
    <w:p w14:paraId="73C53543" w14:textId="77777777" w:rsidR="00F918FA" w:rsidRDefault="00F918FA" w:rsidP="0052545A"/>
    <w:p w14:paraId="6F99482B" w14:textId="77777777" w:rsidR="001D7680" w:rsidRDefault="001D7680" w:rsidP="0052545A"/>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3970"/>
        <w:gridCol w:w="4692"/>
        <w:gridCol w:w="1091"/>
      </w:tblGrid>
      <w:tr w:rsidR="00D8287E" w14:paraId="53509EBF" w14:textId="77777777" w:rsidTr="00237A86">
        <w:tc>
          <w:tcPr>
            <w:tcW w:w="10479" w:type="dxa"/>
            <w:gridSpan w:val="4"/>
            <w:hideMark/>
          </w:tcPr>
          <w:p w14:paraId="66728B23" w14:textId="77777777" w:rsidR="00D8287E" w:rsidRPr="00CD1E96" w:rsidRDefault="00D8287E" w:rsidP="00F918FA">
            <w:pPr>
              <w:rPr>
                <w:b/>
                <w:sz w:val="24"/>
                <w:szCs w:val="24"/>
              </w:rPr>
            </w:pPr>
            <w:r w:rsidRPr="00CD1E96">
              <w:rPr>
                <w:b/>
                <w:sz w:val="24"/>
                <w:szCs w:val="24"/>
              </w:rPr>
              <w:t>IN ATTENDANCE</w:t>
            </w:r>
            <w:r w:rsidR="004B2B04" w:rsidRPr="00CD1E96">
              <w:rPr>
                <w:b/>
                <w:sz w:val="24"/>
                <w:szCs w:val="24"/>
              </w:rPr>
              <w:t xml:space="preserve"> ONLINE</w:t>
            </w:r>
          </w:p>
        </w:tc>
      </w:tr>
      <w:tr w:rsidR="00D8287E" w14:paraId="58CE1152" w14:textId="77777777" w:rsidTr="004A35C4">
        <w:trPr>
          <w:trHeight w:val="1206"/>
        </w:trPr>
        <w:tc>
          <w:tcPr>
            <w:tcW w:w="4696" w:type="dxa"/>
            <w:gridSpan w:val="2"/>
            <w:tcBorders>
              <w:top w:val="nil"/>
              <w:left w:val="nil"/>
              <w:bottom w:val="single" w:sz="4" w:space="0" w:color="auto"/>
              <w:right w:val="nil"/>
            </w:tcBorders>
          </w:tcPr>
          <w:p w14:paraId="56E6E7D7" w14:textId="0590EAE1" w:rsidR="00B25D55" w:rsidRDefault="008741C9" w:rsidP="00B25D55">
            <w:pPr>
              <w:pStyle w:val="Header"/>
              <w:numPr>
                <w:ilvl w:val="0"/>
                <w:numId w:val="5"/>
              </w:numPr>
              <w:tabs>
                <w:tab w:val="left" w:pos="8712"/>
              </w:tabs>
              <w:ind w:right="-18"/>
              <w:rPr>
                <w:rFonts w:cstheme="minorHAnsi"/>
              </w:rPr>
            </w:pPr>
            <w:r>
              <w:rPr>
                <w:rFonts w:cstheme="minorHAnsi"/>
              </w:rPr>
              <w:t>Suzanne Vestri</w:t>
            </w:r>
            <w:r w:rsidR="00863B45">
              <w:rPr>
                <w:rFonts w:cstheme="minorHAnsi"/>
              </w:rPr>
              <w:t xml:space="preserve"> (Chair)</w:t>
            </w:r>
          </w:p>
          <w:p w14:paraId="7E495CEC" w14:textId="5487C177" w:rsidR="00F52239" w:rsidRDefault="008741C9" w:rsidP="00F918FA">
            <w:pPr>
              <w:pStyle w:val="Header"/>
              <w:numPr>
                <w:ilvl w:val="0"/>
                <w:numId w:val="5"/>
              </w:numPr>
              <w:tabs>
                <w:tab w:val="left" w:pos="8712"/>
              </w:tabs>
              <w:ind w:right="-18"/>
              <w:rPr>
                <w:rFonts w:cstheme="minorHAnsi"/>
              </w:rPr>
            </w:pPr>
            <w:r>
              <w:rPr>
                <w:rFonts w:cstheme="minorHAnsi"/>
              </w:rPr>
              <w:t>Anne-Marie O’Hara</w:t>
            </w:r>
          </w:p>
          <w:p w14:paraId="19A5AAAF" w14:textId="77777777" w:rsidR="00971E98" w:rsidRDefault="00B25D55" w:rsidP="00131E17">
            <w:pPr>
              <w:pStyle w:val="ListParagraph"/>
              <w:numPr>
                <w:ilvl w:val="0"/>
                <w:numId w:val="5"/>
              </w:numPr>
              <w:rPr>
                <w:rFonts w:cstheme="minorHAnsi"/>
              </w:rPr>
            </w:pPr>
            <w:r w:rsidRPr="00F52239">
              <w:rPr>
                <w:rFonts w:cstheme="minorHAnsi"/>
              </w:rPr>
              <w:t>Lorna Johnston</w:t>
            </w:r>
            <w:r w:rsidR="00493C77" w:rsidRPr="00F52239">
              <w:rPr>
                <w:rFonts w:cstheme="minorHAnsi"/>
              </w:rPr>
              <w:t xml:space="preserve">, </w:t>
            </w:r>
            <w:r w:rsidR="002E7723" w:rsidRPr="00F52239">
              <w:rPr>
                <w:rFonts w:cstheme="minorHAnsi"/>
              </w:rPr>
              <w:t xml:space="preserve">Executive Director &amp; </w:t>
            </w:r>
            <w:r w:rsidR="007D5A5C" w:rsidRPr="00F52239">
              <w:rPr>
                <w:rFonts w:cstheme="minorHAnsi"/>
              </w:rPr>
              <w:t>Accountable Officer</w:t>
            </w:r>
          </w:p>
          <w:p w14:paraId="7E01121E" w14:textId="77777777" w:rsidR="00131E17" w:rsidRDefault="00131E17" w:rsidP="00131E17">
            <w:pPr>
              <w:pStyle w:val="ListParagraph"/>
              <w:numPr>
                <w:ilvl w:val="0"/>
                <w:numId w:val="5"/>
              </w:numPr>
              <w:rPr>
                <w:rFonts w:cstheme="minorHAnsi"/>
              </w:rPr>
            </w:pPr>
            <w:r>
              <w:rPr>
                <w:rFonts w:cstheme="minorHAnsi"/>
              </w:rPr>
              <w:t>Sarah Nicholson, Office Manager</w:t>
            </w:r>
          </w:p>
          <w:p w14:paraId="6521A27B" w14:textId="0BA96E81" w:rsidR="00EA4277" w:rsidRPr="00131E17" w:rsidRDefault="00EA4277" w:rsidP="00EA4277">
            <w:pPr>
              <w:pStyle w:val="ListParagraph"/>
              <w:ind w:left="360"/>
              <w:rPr>
                <w:rFonts w:cstheme="minorHAnsi"/>
              </w:rPr>
            </w:pPr>
          </w:p>
        </w:tc>
        <w:tc>
          <w:tcPr>
            <w:tcW w:w="5783" w:type="dxa"/>
            <w:gridSpan w:val="2"/>
            <w:tcBorders>
              <w:top w:val="nil"/>
              <w:left w:val="nil"/>
              <w:bottom w:val="single" w:sz="4" w:space="0" w:color="auto"/>
              <w:right w:val="nil"/>
            </w:tcBorders>
            <w:hideMark/>
          </w:tcPr>
          <w:p w14:paraId="118C78D1" w14:textId="1BDEF6CE" w:rsidR="008630A6" w:rsidRPr="00CD1E96" w:rsidRDefault="00660BD2" w:rsidP="008630A6">
            <w:pPr>
              <w:pStyle w:val="Header"/>
              <w:numPr>
                <w:ilvl w:val="0"/>
                <w:numId w:val="5"/>
              </w:numPr>
              <w:tabs>
                <w:tab w:val="left" w:pos="8712"/>
              </w:tabs>
              <w:ind w:right="-18"/>
            </w:pPr>
            <w:r w:rsidRPr="00CD1E96">
              <w:rPr>
                <w:rFonts w:cstheme="minorHAnsi"/>
              </w:rPr>
              <w:t>Gillian McCreadie</w:t>
            </w:r>
            <w:r w:rsidR="00CE3196" w:rsidRPr="00CD1E96">
              <w:rPr>
                <w:rFonts w:cstheme="minorHAnsi"/>
              </w:rPr>
              <w:t xml:space="preserve">, </w:t>
            </w:r>
            <w:r w:rsidR="004473BF" w:rsidRPr="00CD1E96">
              <w:rPr>
                <w:rFonts w:cstheme="minorHAnsi"/>
              </w:rPr>
              <w:t>Audit Manager</w:t>
            </w:r>
            <w:r w:rsidR="008630A6" w:rsidRPr="00CD1E96">
              <w:rPr>
                <w:rFonts w:cstheme="minorHAnsi"/>
              </w:rPr>
              <w:t>,</w:t>
            </w:r>
            <w:r w:rsidR="004473BF" w:rsidRPr="00CD1E96">
              <w:rPr>
                <w:rFonts w:cstheme="minorHAnsi"/>
              </w:rPr>
              <w:t xml:space="preserve"> Audit Scotland</w:t>
            </w:r>
            <w:r w:rsidR="008630A6" w:rsidRPr="00CD1E96">
              <w:t xml:space="preserve"> </w:t>
            </w:r>
          </w:p>
          <w:p w14:paraId="53AEF674" w14:textId="332D709D" w:rsidR="00CD1E96" w:rsidRPr="00CD1E96" w:rsidRDefault="00CD1E96" w:rsidP="008630A6">
            <w:pPr>
              <w:pStyle w:val="Header"/>
              <w:numPr>
                <w:ilvl w:val="0"/>
                <w:numId w:val="5"/>
              </w:numPr>
              <w:tabs>
                <w:tab w:val="left" w:pos="8712"/>
              </w:tabs>
              <w:ind w:right="-18"/>
            </w:pPr>
            <w:r w:rsidRPr="00CD1E96">
              <w:t>Liz Maconachie, Senior Audit manager, Audit Scotland</w:t>
            </w:r>
          </w:p>
          <w:p w14:paraId="0F9A9C61" w14:textId="0BA81837" w:rsidR="008630A6" w:rsidRPr="00CD1E96" w:rsidRDefault="008630A6" w:rsidP="008630A6">
            <w:pPr>
              <w:pStyle w:val="Header"/>
              <w:numPr>
                <w:ilvl w:val="0"/>
                <w:numId w:val="5"/>
              </w:numPr>
              <w:tabs>
                <w:tab w:val="left" w:pos="8712"/>
              </w:tabs>
              <w:ind w:right="-18"/>
              <w:rPr>
                <w:rFonts w:cstheme="minorHAnsi"/>
              </w:rPr>
            </w:pPr>
            <w:r w:rsidRPr="00CD1E96">
              <w:rPr>
                <w:rFonts w:cstheme="minorHAnsi"/>
              </w:rPr>
              <w:t>Andy Munro, Head of Internal Audit, Scottish Parliamentary Corporate Body (SPCB)</w:t>
            </w:r>
          </w:p>
          <w:p w14:paraId="393246AC" w14:textId="726B02F7" w:rsidR="008E5D98" w:rsidRPr="00CD1E96" w:rsidRDefault="008E5D98" w:rsidP="00520B1D">
            <w:pPr>
              <w:pStyle w:val="Header"/>
              <w:tabs>
                <w:tab w:val="left" w:pos="8712"/>
              </w:tabs>
              <w:ind w:left="360" w:right="-18"/>
              <w:rPr>
                <w:rFonts w:cstheme="minorHAnsi"/>
              </w:rPr>
            </w:pPr>
          </w:p>
        </w:tc>
      </w:tr>
      <w:tr w:rsidR="009004F8" w:rsidRPr="009004F8" w14:paraId="4D55EC17" w14:textId="77777777" w:rsidTr="004A35C4">
        <w:tc>
          <w:tcPr>
            <w:tcW w:w="72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47B52A6" w14:textId="77777777" w:rsidR="00D8287E" w:rsidRPr="009004F8" w:rsidRDefault="00D8287E" w:rsidP="00F918FA">
            <w:pPr>
              <w:jc w:val="center"/>
              <w:rPr>
                <w:b/>
                <w:sz w:val="24"/>
                <w:szCs w:val="24"/>
              </w:rPr>
            </w:pPr>
            <w:r w:rsidRPr="009004F8">
              <w:rPr>
                <w:b/>
                <w:sz w:val="24"/>
                <w:szCs w:val="24"/>
              </w:rPr>
              <w:t>ITEM</w:t>
            </w:r>
          </w:p>
        </w:tc>
        <w:tc>
          <w:tcPr>
            <w:tcW w:w="866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A1E9EAB" w14:textId="77777777" w:rsidR="00D8287E" w:rsidRPr="009004F8" w:rsidRDefault="00D8287E" w:rsidP="00F918FA">
            <w:pPr>
              <w:rPr>
                <w:b/>
                <w:sz w:val="24"/>
                <w:szCs w:val="24"/>
              </w:rPr>
            </w:pPr>
            <w:r w:rsidRPr="009004F8">
              <w:rPr>
                <w:b/>
                <w:sz w:val="24"/>
                <w:szCs w:val="24"/>
              </w:rPr>
              <w:t>CONTENT</w:t>
            </w:r>
          </w:p>
        </w:tc>
        <w:tc>
          <w:tcPr>
            <w:tcW w:w="109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3B9E368" w14:textId="77777777" w:rsidR="00D8287E" w:rsidRPr="009004F8" w:rsidRDefault="00D8287E" w:rsidP="00F918FA">
            <w:pPr>
              <w:jc w:val="center"/>
              <w:rPr>
                <w:b/>
                <w:sz w:val="24"/>
                <w:szCs w:val="24"/>
              </w:rPr>
            </w:pPr>
            <w:r w:rsidRPr="009004F8">
              <w:rPr>
                <w:b/>
                <w:sz w:val="24"/>
                <w:szCs w:val="24"/>
              </w:rPr>
              <w:t>ACTION</w:t>
            </w:r>
          </w:p>
        </w:tc>
      </w:tr>
      <w:tr w:rsidR="00D8287E" w14:paraId="173F34BC" w14:textId="77777777" w:rsidTr="00237A86">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44F09FD" w14:textId="77777777" w:rsidR="00D8287E" w:rsidRDefault="00D8287E" w:rsidP="00F918FA">
            <w:pPr>
              <w:rPr>
                <w:b/>
                <w:sz w:val="24"/>
                <w:szCs w:val="24"/>
              </w:rPr>
            </w:pPr>
            <w:r>
              <w:rPr>
                <w:b/>
                <w:sz w:val="24"/>
                <w:szCs w:val="24"/>
              </w:rPr>
              <w:t>STANDING ITEMS</w:t>
            </w:r>
          </w:p>
        </w:tc>
      </w:tr>
      <w:tr w:rsidR="003A0A9D" w14:paraId="0AC0102A" w14:textId="77777777" w:rsidTr="004A35C4">
        <w:tc>
          <w:tcPr>
            <w:tcW w:w="726" w:type="dxa"/>
            <w:tcBorders>
              <w:top w:val="single" w:sz="4" w:space="0" w:color="auto"/>
              <w:left w:val="single" w:sz="4" w:space="0" w:color="auto"/>
              <w:bottom w:val="single" w:sz="4" w:space="0" w:color="auto"/>
              <w:right w:val="single" w:sz="4" w:space="0" w:color="auto"/>
            </w:tcBorders>
          </w:tcPr>
          <w:p w14:paraId="6ED6D3A8" w14:textId="77777777" w:rsidR="003A0A9D" w:rsidRPr="00567B64" w:rsidRDefault="003A0A9D" w:rsidP="003A0A9D">
            <w:pPr>
              <w:pStyle w:val="ListParagraph"/>
              <w:numPr>
                <w:ilvl w:val="0"/>
                <w:numId w:val="10"/>
              </w:numPr>
              <w:rPr>
                <w:rFonts w:cstheme="minorHAnsi"/>
              </w:rPr>
            </w:pPr>
          </w:p>
        </w:tc>
        <w:tc>
          <w:tcPr>
            <w:tcW w:w="8662" w:type="dxa"/>
            <w:gridSpan w:val="2"/>
            <w:tcBorders>
              <w:top w:val="single" w:sz="4" w:space="0" w:color="auto"/>
              <w:left w:val="single" w:sz="4" w:space="0" w:color="auto"/>
              <w:bottom w:val="single" w:sz="4" w:space="0" w:color="auto"/>
              <w:right w:val="single" w:sz="4" w:space="0" w:color="auto"/>
            </w:tcBorders>
          </w:tcPr>
          <w:p w14:paraId="4282B92F" w14:textId="77777777" w:rsidR="00351148" w:rsidRPr="00567B64" w:rsidRDefault="00D44FD7" w:rsidP="00A413EC">
            <w:pPr>
              <w:pStyle w:val="Heading3"/>
              <w:jc w:val="left"/>
              <w:outlineLvl w:val="2"/>
              <w:rPr>
                <w:rFonts w:asciiTheme="minorHAnsi" w:hAnsiTheme="minorHAnsi" w:cstheme="minorHAnsi"/>
                <w:sz w:val="22"/>
                <w:szCs w:val="22"/>
              </w:rPr>
            </w:pPr>
            <w:r w:rsidRPr="00567B64">
              <w:rPr>
                <w:rFonts w:asciiTheme="minorHAnsi" w:hAnsiTheme="minorHAnsi" w:cstheme="minorHAnsi"/>
                <w:sz w:val="22"/>
                <w:szCs w:val="22"/>
              </w:rPr>
              <w:t xml:space="preserve">WELCOME, </w:t>
            </w:r>
            <w:r w:rsidR="003A0A9D" w:rsidRPr="00567B64">
              <w:rPr>
                <w:rFonts w:asciiTheme="minorHAnsi" w:hAnsiTheme="minorHAnsi" w:cstheme="minorHAnsi"/>
                <w:sz w:val="22"/>
                <w:szCs w:val="22"/>
              </w:rPr>
              <w:t>APOLOGIES</w:t>
            </w:r>
            <w:r w:rsidRPr="00567B64">
              <w:rPr>
                <w:rFonts w:asciiTheme="minorHAnsi" w:hAnsiTheme="minorHAnsi" w:cstheme="minorHAnsi"/>
                <w:sz w:val="22"/>
                <w:szCs w:val="22"/>
              </w:rPr>
              <w:t xml:space="preserve"> and DECLARATIONS OF INTEREST</w:t>
            </w:r>
          </w:p>
          <w:p w14:paraId="2C07224F" w14:textId="390E78AA" w:rsidR="00D3293A" w:rsidRDefault="008741C9" w:rsidP="00847616">
            <w:pPr>
              <w:pStyle w:val="Heading3"/>
              <w:outlineLvl w:val="2"/>
              <w:rPr>
                <w:rFonts w:asciiTheme="minorHAnsi" w:hAnsiTheme="minorHAnsi" w:cstheme="minorHAnsi"/>
                <w:b w:val="0"/>
                <w:sz w:val="22"/>
                <w:szCs w:val="22"/>
              </w:rPr>
            </w:pPr>
            <w:r>
              <w:rPr>
                <w:rFonts w:asciiTheme="minorHAnsi" w:hAnsiTheme="minorHAnsi" w:cstheme="minorHAnsi"/>
                <w:b w:val="0"/>
                <w:sz w:val="22"/>
                <w:szCs w:val="22"/>
              </w:rPr>
              <w:t xml:space="preserve">Ms Vestri welcomed all attendees. </w:t>
            </w:r>
          </w:p>
          <w:p w14:paraId="226452D2" w14:textId="77777777" w:rsidR="001C3575" w:rsidRDefault="001C3575" w:rsidP="00A413EC">
            <w:pPr>
              <w:pStyle w:val="Heading3"/>
              <w:jc w:val="left"/>
              <w:outlineLvl w:val="2"/>
              <w:rPr>
                <w:rFonts w:asciiTheme="minorHAnsi" w:hAnsiTheme="minorHAnsi" w:cstheme="minorHAnsi"/>
                <w:b w:val="0"/>
                <w:sz w:val="22"/>
                <w:szCs w:val="22"/>
              </w:rPr>
            </w:pPr>
          </w:p>
          <w:p w14:paraId="4BEDFB5B" w14:textId="7DC5A553" w:rsidR="00567B64" w:rsidRPr="00567B64" w:rsidRDefault="00284156" w:rsidP="00A413EC">
            <w:pPr>
              <w:pStyle w:val="Heading3"/>
              <w:jc w:val="left"/>
              <w:outlineLvl w:val="2"/>
              <w:rPr>
                <w:rFonts w:asciiTheme="minorHAnsi" w:hAnsiTheme="minorHAnsi" w:cstheme="minorHAnsi"/>
                <w:b w:val="0"/>
                <w:sz w:val="22"/>
                <w:szCs w:val="22"/>
              </w:rPr>
            </w:pPr>
            <w:r w:rsidRPr="005E2619">
              <w:rPr>
                <w:rFonts w:asciiTheme="minorHAnsi" w:hAnsiTheme="minorHAnsi" w:cstheme="minorHAnsi"/>
                <w:b w:val="0"/>
                <w:sz w:val="22"/>
                <w:szCs w:val="22"/>
              </w:rPr>
              <w:t xml:space="preserve">No </w:t>
            </w:r>
            <w:r w:rsidR="003A0A9D" w:rsidRPr="005E2619">
              <w:rPr>
                <w:rFonts w:asciiTheme="minorHAnsi" w:hAnsiTheme="minorHAnsi" w:cstheme="minorHAnsi"/>
                <w:b w:val="0"/>
                <w:sz w:val="22"/>
                <w:szCs w:val="22"/>
              </w:rPr>
              <w:t xml:space="preserve">declarations of </w:t>
            </w:r>
            <w:r w:rsidR="0018273F" w:rsidRPr="005E2619">
              <w:rPr>
                <w:rFonts w:asciiTheme="minorHAnsi" w:hAnsiTheme="minorHAnsi" w:cstheme="minorHAnsi"/>
                <w:b w:val="0"/>
                <w:sz w:val="22"/>
                <w:szCs w:val="22"/>
              </w:rPr>
              <w:t xml:space="preserve">interest </w:t>
            </w:r>
            <w:r w:rsidRPr="005E2619">
              <w:rPr>
                <w:rFonts w:asciiTheme="minorHAnsi" w:hAnsiTheme="minorHAnsi" w:cstheme="minorHAnsi"/>
                <w:b w:val="0"/>
                <w:sz w:val="22"/>
                <w:szCs w:val="22"/>
              </w:rPr>
              <w:t>were made.</w:t>
            </w:r>
            <w:r w:rsidR="00567B64" w:rsidRPr="00567B64">
              <w:rPr>
                <w:rFonts w:asciiTheme="minorHAnsi" w:hAnsiTheme="minorHAnsi" w:cstheme="minorHAnsi"/>
                <w:b w:val="0"/>
                <w:sz w:val="22"/>
                <w:szCs w:val="22"/>
              </w:rPr>
              <w:t xml:space="preserve"> </w:t>
            </w:r>
          </w:p>
          <w:p w14:paraId="03D0A3E2" w14:textId="77777777" w:rsidR="003A0A9D" w:rsidRPr="00567B64" w:rsidRDefault="00567B64" w:rsidP="00A413EC">
            <w:pPr>
              <w:pStyle w:val="Heading3"/>
              <w:jc w:val="left"/>
              <w:outlineLvl w:val="2"/>
              <w:rPr>
                <w:rFonts w:asciiTheme="minorHAnsi" w:hAnsiTheme="minorHAnsi" w:cstheme="minorHAnsi"/>
                <w:b w:val="0"/>
                <w:sz w:val="22"/>
                <w:szCs w:val="22"/>
              </w:rPr>
            </w:pPr>
            <w:r w:rsidRPr="00567B64">
              <w:rPr>
                <w:rFonts w:asciiTheme="minorHAnsi" w:hAnsiTheme="minorHAnsi" w:cstheme="minorHAnsi"/>
                <w:b w:val="0"/>
                <w:sz w:val="22"/>
                <w:szCs w:val="22"/>
              </w:rPr>
              <w:t xml:space="preserve"> </w:t>
            </w:r>
          </w:p>
        </w:tc>
        <w:tc>
          <w:tcPr>
            <w:tcW w:w="1091" w:type="dxa"/>
            <w:tcBorders>
              <w:top w:val="single" w:sz="4" w:space="0" w:color="auto"/>
              <w:left w:val="single" w:sz="4" w:space="0" w:color="auto"/>
              <w:bottom w:val="single" w:sz="4" w:space="0" w:color="auto"/>
              <w:right w:val="single" w:sz="4" w:space="0" w:color="auto"/>
            </w:tcBorders>
          </w:tcPr>
          <w:p w14:paraId="762BD610" w14:textId="77777777" w:rsidR="003A0A9D" w:rsidRPr="004B469B" w:rsidRDefault="003A0A9D" w:rsidP="001B716A">
            <w:pPr>
              <w:jc w:val="center"/>
              <w:rPr>
                <w:rFonts w:cstheme="minorHAnsi"/>
                <w:b/>
                <w:highlight w:val="yellow"/>
              </w:rPr>
            </w:pPr>
          </w:p>
        </w:tc>
      </w:tr>
      <w:tr w:rsidR="003A0A9D" w14:paraId="61529783" w14:textId="77777777" w:rsidTr="009D1682">
        <w:tc>
          <w:tcPr>
            <w:tcW w:w="726" w:type="dxa"/>
            <w:tcBorders>
              <w:top w:val="single" w:sz="4" w:space="0" w:color="auto"/>
              <w:left w:val="single" w:sz="4" w:space="0" w:color="auto"/>
              <w:bottom w:val="single" w:sz="4" w:space="0" w:color="auto"/>
              <w:right w:val="single" w:sz="4" w:space="0" w:color="auto"/>
            </w:tcBorders>
            <w:shd w:val="clear" w:color="auto" w:fill="auto"/>
          </w:tcPr>
          <w:p w14:paraId="0538C18D" w14:textId="77777777" w:rsidR="003A0A9D" w:rsidRPr="009D1682" w:rsidRDefault="003A0A9D" w:rsidP="003A0A9D">
            <w:pPr>
              <w:pStyle w:val="ListParagraph"/>
              <w:numPr>
                <w:ilvl w:val="0"/>
                <w:numId w:val="10"/>
              </w:numPr>
              <w:rPr>
                <w:rFonts w:cstheme="minorHAnsi"/>
              </w:rPr>
            </w:pPr>
          </w:p>
        </w:tc>
        <w:tc>
          <w:tcPr>
            <w:tcW w:w="8662" w:type="dxa"/>
            <w:gridSpan w:val="2"/>
            <w:tcBorders>
              <w:top w:val="single" w:sz="4" w:space="0" w:color="auto"/>
              <w:left w:val="single" w:sz="4" w:space="0" w:color="auto"/>
              <w:bottom w:val="single" w:sz="4" w:space="0" w:color="auto"/>
              <w:right w:val="single" w:sz="4" w:space="0" w:color="auto"/>
            </w:tcBorders>
            <w:shd w:val="clear" w:color="auto" w:fill="auto"/>
          </w:tcPr>
          <w:p w14:paraId="6D65EABA" w14:textId="77777777" w:rsidR="003A0A9D" w:rsidRPr="009D1682" w:rsidRDefault="003A0A9D" w:rsidP="00A413EC">
            <w:pPr>
              <w:ind w:firstLine="11"/>
              <w:rPr>
                <w:rFonts w:cstheme="minorHAnsi"/>
                <w:b/>
              </w:rPr>
            </w:pPr>
            <w:r w:rsidRPr="009D1682">
              <w:rPr>
                <w:rFonts w:cstheme="minorHAnsi"/>
                <w:b/>
              </w:rPr>
              <w:t>DRAFT MINUTE OF PREVIOUS MEETING</w:t>
            </w:r>
          </w:p>
          <w:p w14:paraId="79EADDB9" w14:textId="2986973C" w:rsidR="005A2832" w:rsidRPr="009D1682" w:rsidRDefault="005E2619" w:rsidP="00A413EC">
            <w:pPr>
              <w:jc w:val="both"/>
            </w:pPr>
            <w:r w:rsidRPr="009D1682">
              <w:t>T</w:t>
            </w:r>
            <w:r w:rsidR="0021293B" w:rsidRPr="009D1682">
              <w:t>he d</w:t>
            </w:r>
            <w:r w:rsidR="003A0A9D" w:rsidRPr="009D1682">
              <w:t>ra</w:t>
            </w:r>
            <w:r w:rsidR="00D44FD7" w:rsidRPr="009D1682">
              <w:t xml:space="preserve">ft </w:t>
            </w:r>
            <w:r w:rsidR="002E6560" w:rsidRPr="009D1682">
              <w:t>minutes of</w:t>
            </w:r>
            <w:r w:rsidR="00D44FD7" w:rsidRPr="009D1682">
              <w:t xml:space="preserve"> the meeting </w:t>
            </w:r>
            <w:r w:rsidR="003A0A9D" w:rsidRPr="009D1682">
              <w:t xml:space="preserve">on </w:t>
            </w:r>
            <w:r w:rsidR="00F44DB8">
              <w:t>23 May</w:t>
            </w:r>
            <w:r w:rsidR="008741C9" w:rsidRPr="009D1682">
              <w:t xml:space="preserve"> 2023</w:t>
            </w:r>
            <w:r w:rsidR="00863B45" w:rsidRPr="009D1682">
              <w:t xml:space="preserve"> </w:t>
            </w:r>
            <w:r w:rsidR="002E6560" w:rsidRPr="009D1682">
              <w:t>were</w:t>
            </w:r>
            <w:r w:rsidR="00863B45" w:rsidRPr="009D1682">
              <w:t xml:space="preserve"> </w:t>
            </w:r>
            <w:r w:rsidR="006D1FF5" w:rsidRPr="009D1682">
              <w:t>approved</w:t>
            </w:r>
            <w:r w:rsidR="003A0A9D" w:rsidRPr="009D1682">
              <w:t>.</w:t>
            </w:r>
          </w:p>
          <w:p w14:paraId="424901A9" w14:textId="77777777" w:rsidR="003A0A9D" w:rsidRPr="009D1682" w:rsidRDefault="005A2832" w:rsidP="00A413EC">
            <w:pPr>
              <w:jc w:val="both"/>
              <w:rPr>
                <w:rFonts w:cstheme="minorHAnsi"/>
              </w:rPr>
            </w:pPr>
            <w:r w:rsidRPr="009D1682">
              <w:rPr>
                <w:rFonts w:cstheme="minorHAnsi"/>
              </w:rPr>
              <w:t xml:space="preserve"> </w:t>
            </w:r>
          </w:p>
        </w:tc>
        <w:tc>
          <w:tcPr>
            <w:tcW w:w="1091" w:type="dxa"/>
            <w:tcBorders>
              <w:top w:val="single" w:sz="4" w:space="0" w:color="auto"/>
              <w:left w:val="single" w:sz="4" w:space="0" w:color="auto"/>
              <w:bottom w:val="single" w:sz="4" w:space="0" w:color="auto"/>
              <w:right w:val="single" w:sz="4" w:space="0" w:color="auto"/>
            </w:tcBorders>
          </w:tcPr>
          <w:p w14:paraId="05D18930" w14:textId="77777777" w:rsidR="003A0A9D" w:rsidRDefault="003A0A9D" w:rsidP="001B716A">
            <w:pPr>
              <w:jc w:val="center"/>
              <w:rPr>
                <w:rFonts w:cstheme="minorHAnsi"/>
                <w:b/>
                <w:highlight w:val="yellow"/>
              </w:rPr>
            </w:pPr>
          </w:p>
          <w:p w14:paraId="5288B347" w14:textId="77777777" w:rsidR="00D40F95" w:rsidRPr="004B469B" w:rsidRDefault="00D40F95" w:rsidP="001B716A">
            <w:pPr>
              <w:jc w:val="center"/>
              <w:rPr>
                <w:rFonts w:cstheme="minorHAnsi"/>
                <w:b/>
                <w:highlight w:val="yellow"/>
              </w:rPr>
            </w:pPr>
          </w:p>
        </w:tc>
      </w:tr>
      <w:tr w:rsidR="003A0A9D" w14:paraId="789D135B" w14:textId="77777777" w:rsidTr="009D1682">
        <w:trPr>
          <w:trHeight w:val="667"/>
        </w:trPr>
        <w:tc>
          <w:tcPr>
            <w:tcW w:w="726" w:type="dxa"/>
            <w:tcBorders>
              <w:top w:val="single" w:sz="4" w:space="0" w:color="auto"/>
              <w:left w:val="single" w:sz="4" w:space="0" w:color="auto"/>
              <w:bottom w:val="single" w:sz="4" w:space="0" w:color="auto"/>
              <w:right w:val="single" w:sz="4" w:space="0" w:color="auto"/>
            </w:tcBorders>
            <w:shd w:val="clear" w:color="auto" w:fill="auto"/>
          </w:tcPr>
          <w:p w14:paraId="388B6BEF" w14:textId="77777777" w:rsidR="003A0A9D" w:rsidRPr="009D1682" w:rsidRDefault="003A0A9D" w:rsidP="003A0A9D">
            <w:pPr>
              <w:pStyle w:val="ListParagraph"/>
              <w:numPr>
                <w:ilvl w:val="0"/>
                <w:numId w:val="10"/>
              </w:numPr>
              <w:rPr>
                <w:rFonts w:cstheme="minorHAnsi"/>
              </w:rPr>
            </w:pPr>
          </w:p>
        </w:tc>
        <w:tc>
          <w:tcPr>
            <w:tcW w:w="8662" w:type="dxa"/>
            <w:gridSpan w:val="2"/>
            <w:tcBorders>
              <w:top w:val="single" w:sz="4" w:space="0" w:color="auto"/>
              <w:left w:val="single" w:sz="4" w:space="0" w:color="auto"/>
              <w:bottom w:val="single" w:sz="4" w:space="0" w:color="auto"/>
              <w:right w:val="single" w:sz="4" w:space="0" w:color="auto"/>
            </w:tcBorders>
            <w:shd w:val="clear" w:color="auto" w:fill="auto"/>
          </w:tcPr>
          <w:p w14:paraId="57B88684" w14:textId="77777777" w:rsidR="003A0A9D" w:rsidRPr="009D1682" w:rsidRDefault="003A0A9D" w:rsidP="00A413EC">
            <w:pPr>
              <w:rPr>
                <w:rFonts w:cstheme="minorHAnsi"/>
                <w:b/>
              </w:rPr>
            </w:pPr>
            <w:r w:rsidRPr="009D1682">
              <w:rPr>
                <w:rFonts w:cstheme="minorHAnsi"/>
                <w:b/>
              </w:rPr>
              <w:t>MATTERS ARISING</w:t>
            </w:r>
          </w:p>
          <w:p w14:paraId="3A362419" w14:textId="6357EDAD" w:rsidR="007B136E" w:rsidRPr="009D1682" w:rsidRDefault="00750881" w:rsidP="004B2B04">
            <w:pPr>
              <w:jc w:val="both"/>
            </w:pPr>
            <w:r w:rsidRPr="009D1682">
              <w:t xml:space="preserve">The Committee noted </w:t>
            </w:r>
            <w:r w:rsidR="004B2B04" w:rsidRPr="009D1682">
              <w:t>th</w:t>
            </w:r>
            <w:r w:rsidR="006D3FE4" w:rsidRPr="009D1682">
              <w:t>at</w:t>
            </w:r>
            <w:r w:rsidR="004B2B04" w:rsidRPr="009D1682">
              <w:t xml:space="preserve"> </w:t>
            </w:r>
            <w:r w:rsidR="008630A6" w:rsidRPr="009D1682">
              <w:t>all</w:t>
            </w:r>
            <w:r w:rsidR="004B2B04" w:rsidRPr="009D1682">
              <w:t xml:space="preserve"> </w:t>
            </w:r>
            <w:r w:rsidR="008630A6" w:rsidRPr="009D1682">
              <w:t>matters arising</w:t>
            </w:r>
            <w:r w:rsidR="009D1682" w:rsidRPr="009D1682">
              <w:t xml:space="preserve"> </w:t>
            </w:r>
            <w:r w:rsidR="008630A6" w:rsidRPr="009D1682">
              <w:t>had been completed</w:t>
            </w:r>
            <w:r w:rsidR="009D1682" w:rsidRPr="009D1682">
              <w:t xml:space="preserve"> or were due to be discussed at the meeting as one of the items below</w:t>
            </w:r>
            <w:r w:rsidR="008630A6" w:rsidRPr="009D1682">
              <w:t>.</w:t>
            </w:r>
          </w:p>
          <w:p w14:paraId="5D0D55DC" w14:textId="2189B01E" w:rsidR="009D1682" w:rsidRPr="009D1682" w:rsidRDefault="009D1682" w:rsidP="004B2B04">
            <w:pPr>
              <w:jc w:val="both"/>
            </w:pPr>
          </w:p>
        </w:tc>
        <w:tc>
          <w:tcPr>
            <w:tcW w:w="1091" w:type="dxa"/>
            <w:tcBorders>
              <w:top w:val="single" w:sz="4" w:space="0" w:color="auto"/>
              <w:left w:val="single" w:sz="4" w:space="0" w:color="auto"/>
              <w:bottom w:val="single" w:sz="4" w:space="0" w:color="auto"/>
              <w:right w:val="single" w:sz="4" w:space="0" w:color="auto"/>
            </w:tcBorders>
          </w:tcPr>
          <w:p w14:paraId="63A3C5F1" w14:textId="77777777" w:rsidR="00A55F9A" w:rsidRDefault="00A55F9A" w:rsidP="001B716A">
            <w:pPr>
              <w:jc w:val="center"/>
              <w:rPr>
                <w:rFonts w:cstheme="minorHAnsi"/>
                <w:b/>
                <w:highlight w:val="yellow"/>
              </w:rPr>
            </w:pPr>
          </w:p>
          <w:p w14:paraId="613CC2FD" w14:textId="77777777" w:rsidR="004B2B04" w:rsidRDefault="004B2B04" w:rsidP="004B2B04">
            <w:pPr>
              <w:rPr>
                <w:rFonts w:cstheme="minorHAnsi"/>
                <w:b/>
                <w:highlight w:val="yellow"/>
              </w:rPr>
            </w:pPr>
          </w:p>
          <w:p w14:paraId="73114550" w14:textId="77777777" w:rsidR="004B2B04" w:rsidRPr="004B469B" w:rsidRDefault="004B2B04" w:rsidP="004B2B04">
            <w:pPr>
              <w:rPr>
                <w:rFonts w:cstheme="minorHAnsi"/>
                <w:b/>
                <w:highlight w:val="yellow"/>
              </w:rPr>
            </w:pPr>
          </w:p>
        </w:tc>
      </w:tr>
      <w:tr w:rsidR="00EB5179" w:rsidRPr="003F36E4" w14:paraId="401FF4C7" w14:textId="77777777" w:rsidTr="00237A86">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CFC8FA8" w14:textId="77777777" w:rsidR="00EB5179" w:rsidRPr="004B469B" w:rsidRDefault="00237A86" w:rsidP="00B62F09">
            <w:pPr>
              <w:rPr>
                <w:rFonts w:cstheme="minorHAnsi"/>
                <w:b/>
                <w:highlight w:val="yellow"/>
              </w:rPr>
            </w:pPr>
            <w:r>
              <w:rPr>
                <w:rFonts w:cstheme="minorHAnsi"/>
                <w:b/>
                <w:sz w:val="24"/>
              </w:rPr>
              <w:t>BUSINESS ITEMS</w:t>
            </w:r>
          </w:p>
        </w:tc>
      </w:tr>
      <w:tr w:rsidR="00EB5179" w14:paraId="30469B90" w14:textId="77777777" w:rsidTr="004A35C4">
        <w:tc>
          <w:tcPr>
            <w:tcW w:w="726" w:type="dxa"/>
            <w:tcBorders>
              <w:top w:val="single" w:sz="4" w:space="0" w:color="auto"/>
              <w:left w:val="single" w:sz="4" w:space="0" w:color="auto"/>
              <w:bottom w:val="single" w:sz="4" w:space="0" w:color="auto"/>
              <w:right w:val="single" w:sz="4" w:space="0" w:color="auto"/>
            </w:tcBorders>
          </w:tcPr>
          <w:p w14:paraId="24FE3A7B" w14:textId="77777777" w:rsidR="00EB5179" w:rsidRPr="001B716A" w:rsidRDefault="00EB5179" w:rsidP="001B716A">
            <w:pPr>
              <w:pStyle w:val="ListParagraph"/>
              <w:numPr>
                <w:ilvl w:val="0"/>
                <w:numId w:val="10"/>
              </w:numPr>
              <w:rPr>
                <w:rFonts w:cstheme="minorHAnsi"/>
              </w:rPr>
            </w:pPr>
          </w:p>
        </w:tc>
        <w:tc>
          <w:tcPr>
            <w:tcW w:w="8662" w:type="dxa"/>
            <w:gridSpan w:val="2"/>
            <w:tcBorders>
              <w:top w:val="single" w:sz="4" w:space="0" w:color="auto"/>
              <w:left w:val="single" w:sz="4" w:space="0" w:color="auto"/>
              <w:bottom w:val="single" w:sz="4" w:space="0" w:color="auto"/>
              <w:right w:val="single" w:sz="4" w:space="0" w:color="auto"/>
            </w:tcBorders>
          </w:tcPr>
          <w:p w14:paraId="48163F66" w14:textId="4084195E" w:rsidR="00237A86" w:rsidRPr="00237A86" w:rsidRDefault="00237A86" w:rsidP="002E6560">
            <w:pPr>
              <w:jc w:val="both"/>
              <w:rPr>
                <w:rFonts w:cstheme="minorHAnsi"/>
                <w:b/>
              </w:rPr>
            </w:pPr>
            <w:r w:rsidRPr="00237A86">
              <w:rPr>
                <w:rFonts w:cstheme="minorHAnsi"/>
                <w:b/>
              </w:rPr>
              <w:t>RISK REGISTER 202</w:t>
            </w:r>
            <w:r w:rsidR="008741C9">
              <w:rPr>
                <w:rFonts w:cstheme="minorHAnsi"/>
                <w:b/>
              </w:rPr>
              <w:t>3</w:t>
            </w:r>
            <w:r w:rsidRPr="00237A86">
              <w:rPr>
                <w:rFonts w:cstheme="minorHAnsi"/>
                <w:b/>
              </w:rPr>
              <w:t>/2</w:t>
            </w:r>
            <w:r w:rsidR="008741C9">
              <w:rPr>
                <w:rFonts w:cstheme="minorHAnsi"/>
                <w:b/>
              </w:rPr>
              <w:t>4</w:t>
            </w:r>
          </w:p>
          <w:p w14:paraId="576C0C3B" w14:textId="168BEFAC" w:rsidR="004A38B2" w:rsidRDefault="00884025" w:rsidP="00F44DB8">
            <w:pPr>
              <w:jc w:val="both"/>
              <w:rPr>
                <w:rFonts w:cstheme="minorHAnsi"/>
              </w:rPr>
            </w:pPr>
            <w:r>
              <w:rPr>
                <w:rFonts w:cstheme="minorHAnsi"/>
              </w:rPr>
              <w:t>The Committee reviewed the risk register for 2023/24 and noted the actions taken, in the year to date, to mitigate the risks identified.</w:t>
            </w:r>
          </w:p>
          <w:p w14:paraId="11764578" w14:textId="0153D7FA" w:rsidR="00884025" w:rsidRDefault="00884025" w:rsidP="00F44DB8">
            <w:pPr>
              <w:jc w:val="both"/>
              <w:rPr>
                <w:rFonts w:cstheme="minorHAnsi"/>
              </w:rPr>
            </w:pPr>
          </w:p>
          <w:p w14:paraId="0AD78765" w14:textId="25DBACB9" w:rsidR="00F44DB8" w:rsidRDefault="00884025" w:rsidP="00DA5898">
            <w:pPr>
              <w:jc w:val="both"/>
              <w:rPr>
                <w:rFonts w:cstheme="minorHAnsi"/>
              </w:rPr>
            </w:pPr>
            <w:r>
              <w:rPr>
                <w:rFonts w:cstheme="minorHAnsi"/>
              </w:rPr>
              <w:t xml:space="preserve">In particular, the Committee </w:t>
            </w:r>
            <w:r w:rsidR="00E94AFC">
              <w:rPr>
                <w:rFonts w:cstheme="minorHAnsi"/>
              </w:rPr>
              <w:t>reviewed whether th</w:t>
            </w:r>
            <w:r w:rsidRPr="00884025">
              <w:rPr>
                <w:rFonts w:cstheme="minorHAnsi"/>
              </w:rPr>
              <w:t>e probability score</w:t>
            </w:r>
            <w:r w:rsidR="00E94AFC">
              <w:rPr>
                <w:rFonts w:cstheme="minorHAnsi"/>
              </w:rPr>
              <w:t>s</w:t>
            </w:r>
            <w:r w:rsidRPr="00884025">
              <w:rPr>
                <w:rFonts w:cstheme="minorHAnsi"/>
              </w:rPr>
              <w:t xml:space="preserve"> for</w:t>
            </w:r>
            <w:r w:rsidR="00E94AFC">
              <w:rPr>
                <w:rFonts w:cstheme="minorHAnsi"/>
              </w:rPr>
              <w:t xml:space="preserve"> the risks concerning whether there were sufficient</w:t>
            </w:r>
            <w:r w:rsidR="00E94AFC" w:rsidRPr="00E94AFC">
              <w:rPr>
                <w:rFonts w:cstheme="minorHAnsi"/>
              </w:rPr>
              <w:t xml:space="preserve"> resources </w:t>
            </w:r>
            <w:r w:rsidR="00E94AFC">
              <w:rPr>
                <w:rFonts w:cstheme="minorHAnsi"/>
              </w:rPr>
              <w:t>for</w:t>
            </w:r>
            <w:r w:rsidR="00E94AFC" w:rsidRPr="00E94AFC">
              <w:rPr>
                <w:rFonts w:cstheme="minorHAnsi"/>
              </w:rPr>
              <w:t xml:space="preserve"> Standards Commission </w:t>
            </w:r>
            <w:r w:rsidR="00E94AFC">
              <w:rPr>
                <w:rFonts w:cstheme="minorHAnsi"/>
              </w:rPr>
              <w:t xml:space="preserve">to fulfil its statutory duties and </w:t>
            </w:r>
            <w:r w:rsidR="00E94AFC" w:rsidRPr="00E94AFC">
              <w:rPr>
                <w:rFonts w:cstheme="minorHAnsi"/>
              </w:rPr>
              <w:t xml:space="preserve">meet its business objectives </w:t>
            </w:r>
            <w:r w:rsidR="00E94AFC">
              <w:rPr>
                <w:rFonts w:cstheme="minorHAnsi"/>
              </w:rPr>
              <w:t xml:space="preserve">could be reduced </w:t>
            </w:r>
            <w:proofErr w:type="gramStart"/>
            <w:r w:rsidR="00E94AFC">
              <w:rPr>
                <w:rFonts w:cstheme="minorHAnsi"/>
              </w:rPr>
              <w:t>in light of</w:t>
            </w:r>
            <w:proofErr w:type="gramEnd"/>
            <w:r w:rsidR="00E94AFC">
              <w:rPr>
                <w:rFonts w:cstheme="minorHAnsi"/>
              </w:rPr>
              <w:t xml:space="preserve"> actions undertaken to date. While the Committee was pleased to note that the two new members had been successfully inducted, it acknowledged that further</w:t>
            </w:r>
            <w:r w:rsidRPr="00884025">
              <w:rPr>
                <w:rFonts w:cstheme="minorHAnsi"/>
              </w:rPr>
              <w:t xml:space="preserve"> case referrals </w:t>
            </w:r>
            <w:r w:rsidR="00E94AFC">
              <w:rPr>
                <w:rFonts w:cstheme="minorHAnsi"/>
              </w:rPr>
              <w:t>were</w:t>
            </w:r>
            <w:r w:rsidRPr="00884025">
              <w:rPr>
                <w:rFonts w:cstheme="minorHAnsi"/>
              </w:rPr>
              <w:t xml:space="preserve"> expected </w:t>
            </w:r>
            <w:proofErr w:type="gramStart"/>
            <w:r w:rsidRPr="00884025">
              <w:rPr>
                <w:rFonts w:cstheme="minorHAnsi"/>
              </w:rPr>
              <w:t>as a result of</w:t>
            </w:r>
            <w:proofErr w:type="gramEnd"/>
            <w:r w:rsidRPr="00884025">
              <w:rPr>
                <w:rFonts w:cstheme="minorHAnsi"/>
              </w:rPr>
              <w:t xml:space="preserve"> the Ethical Standards Commissioner continuing to clear a backlog</w:t>
            </w:r>
            <w:r w:rsidR="00E94AFC">
              <w:rPr>
                <w:rFonts w:cstheme="minorHAnsi"/>
              </w:rPr>
              <w:t xml:space="preserve"> and, as such, s</w:t>
            </w:r>
            <w:r w:rsidRPr="00884025">
              <w:rPr>
                <w:rFonts w:cstheme="minorHAnsi"/>
              </w:rPr>
              <w:t>taff capacity remain</w:t>
            </w:r>
            <w:r w:rsidR="00E94AFC">
              <w:rPr>
                <w:rFonts w:cstheme="minorHAnsi"/>
              </w:rPr>
              <w:t>ed</w:t>
            </w:r>
            <w:r w:rsidRPr="00884025">
              <w:rPr>
                <w:rFonts w:cstheme="minorHAnsi"/>
              </w:rPr>
              <w:t xml:space="preserve"> an issue</w:t>
            </w:r>
            <w:r w:rsidR="00E94AFC">
              <w:rPr>
                <w:rFonts w:cstheme="minorHAnsi"/>
              </w:rPr>
              <w:t xml:space="preserve">. The Committee agreed, therefore, </w:t>
            </w:r>
            <w:r w:rsidR="00DA5898">
              <w:rPr>
                <w:rFonts w:cstheme="minorHAnsi"/>
              </w:rPr>
              <w:t>to recommend to the Standards Commission t</w:t>
            </w:r>
            <w:r w:rsidR="00E94AFC">
              <w:rPr>
                <w:rFonts w:cstheme="minorHAnsi"/>
              </w:rPr>
              <w:t xml:space="preserve">hat no changes </w:t>
            </w:r>
            <w:r w:rsidR="00DA5898">
              <w:rPr>
                <w:rFonts w:cstheme="minorHAnsi"/>
              </w:rPr>
              <w:t xml:space="preserve">to the </w:t>
            </w:r>
            <w:r w:rsidR="00E004FF">
              <w:rPr>
                <w:rFonts w:cstheme="minorHAnsi"/>
              </w:rPr>
              <w:t xml:space="preserve">risk </w:t>
            </w:r>
            <w:r w:rsidR="00DA5898">
              <w:rPr>
                <w:rFonts w:cstheme="minorHAnsi"/>
              </w:rPr>
              <w:t>scores be made for time time-being.</w:t>
            </w:r>
          </w:p>
          <w:p w14:paraId="16DBCB61" w14:textId="2AF4C287" w:rsidR="00DA5898" w:rsidRPr="00064CFE" w:rsidRDefault="00DA5898" w:rsidP="00DA5898">
            <w:pPr>
              <w:jc w:val="both"/>
              <w:rPr>
                <w:rFonts w:cstheme="minorHAnsi"/>
              </w:rPr>
            </w:pPr>
          </w:p>
        </w:tc>
        <w:tc>
          <w:tcPr>
            <w:tcW w:w="1091" w:type="dxa"/>
            <w:tcBorders>
              <w:top w:val="single" w:sz="4" w:space="0" w:color="auto"/>
              <w:left w:val="single" w:sz="4" w:space="0" w:color="auto"/>
              <w:bottom w:val="single" w:sz="4" w:space="0" w:color="auto"/>
              <w:right w:val="single" w:sz="4" w:space="0" w:color="auto"/>
            </w:tcBorders>
          </w:tcPr>
          <w:p w14:paraId="0916047C" w14:textId="77777777" w:rsidR="00FC3F82" w:rsidRPr="00750881" w:rsidRDefault="00FC3F82" w:rsidP="00081CFD">
            <w:pPr>
              <w:pStyle w:val="ListParagraph"/>
              <w:ind w:left="360"/>
              <w:jc w:val="center"/>
              <w:rPr>
                <w:rFonts w:cstheme="minorHAnsi"/>
              </w:rPr>
            </w:pPr>
          </w:p>
          <w:p w14:paraId="375C7054" w14:textId="77777777" w:rsidR="00E004FF" w:rsidRDefault="00E004FF" w:rsidP="00081CFD">
            <w:pPr>
              <w:jc w:val="center"/>
              <w:rPr>
                <w:rFonts w:cstheme="minorHAnsi"/>
                <w:b/>
                <w:bCs/>
              </w:rPr>
            </w:pPr>
          </w:p>
          <w:p w14:paraId="002515C5" w14:textId="77777777" w:rsidR="00E004FF" w:rsidRDefault="00E004FF" w:rsidP="00081CFD">
            <w:pPr>
              <w:jc w:val="center"/>
              <w:rPr>
                <w:rFonts w:cstheme="minorHAnsi"/>
                <w:b/>
                <w:bCs/>
              </w:rPr>
            </w:pPr>
          </w:p>
          <w:p w14:paraId="659F337F" w14:textId="77777777" w:rsidR="00E004FF" w:rsidRDefault="00E004FF" w:rsidP="00081CFD">
            <w:pPr>
              <w:jc w:val="center"/>
              <w:rPr>
                <w:rFonts w:cstheme="minorHAnsi"/>
                <w:b/>
                <w:bCs/>
              </w:rPr>
            </w:pPr>
          </w:p>
          <w:p w14:paraId="13DB2D94" w14:textId="77777777" w:rsidR="00E004FF" w:rsidRDefault="00E004FF" w:rsidP="00081CFD">
            <w:pPr>
              <w:jc w:val="center"/>
              <w:rPr>
                <w:rFonts w:cstheme="minorHAnsi"/>
                <w:b/>
                <w:bCs/>
              </w:rPr>
            </w:pPr>
          </w:p>
          <w:p w14:paraId="1E602F3B" w14:textId="77777777" w:rsidR="00E004FF" w:rsidRDefault="00E004FF" w:rsidP="00081CFD">
            <w:pPr>
              <w:jc w:val="center"/>
              <w:rPr>
                <w:rFonts w:cstheme="minorHAnsi"/>
                <w:b/>
                <w:bCs/>
              </w:rPr>
            </w:pPr>
          </w:p>
          <w:p w14:paraId="16964D31" w14:textId="77777777" w:rsidR="00E004FF" w:rsidRDefault="00E004FF" w:rsidP="00081CFD">
            <w:pPr>
              <w:jc w:val="center"/>
              <w:rPr>
                <w:rFonts w:cstheme="minorHAnsi"/>
                <w:b/>
                <w:bCs/>
              </w:rPr>
            </w:pPr>
          </w:p>
          <w:p w14:paraId="12F95128" w14:textId="77777777" w:rsidR="00E004FF" w:rsidRDefault="00E004FF" w:rsidP="00081CFD">
            <w:pPr>
              <w:jc w:val="center"/>
              <w:rPr>
                <w:rFonts w:cstheme="minorHAnsi"/>
                <w:b/>
                <w:bCs/>
              </w:rPr>
            </w:pPr>
          </w:p>
          <w:p w14:paraId="1BA0AF1C" w14:textId="77777777" w:rsidR="00E004FF" w:rsidRDefault="00E004FF" w:rsidP="00081CFD">
            <w:pPr>
              <w:jc w:val="center"/>
              <w:rPr>
                <w:rFonts w:cstheme="minorHAnsi"/>
                <w:b/>
                <w:bCs/>
              </w:rPr>
            </w:pPr>
          </w:p>
          <w:p w14:paraId="57CB4826" w14:textId="77777777" w:rsidR="00E004FF" w:rsidRDefault="00E004FF" w:rsidP="00081CFD">
            <w:pPr>
              <w:jc w:val="center"/>
              <w:rPr>
                <w:rFonts w:cstheme="minorHAnsi"/>
                <w:b/>
                <w:bCs/>
              </w:rPr>
            </w:pPr>
          </w:p>
          <w:p w14:paraId="569C7B23" w14:textId="7E6A8708" w:rsidR="003C16C3" w:rsidRPr="004A38B2" w:rsidRDefault="00F44DB8" w:rsidP="00081CFD">
            <w:pPr>
              <w:jc w:val="center"/>
              <w:rPr>
                <w:rFonts w:cstheme="minorHAnsi"/>
                <w:b/>
                <w:bCs/>
              </w:rPr>
            </w:pPr>
            <w:r>
              <w:rPr>
                <w:rFonts w:cstheme="minorHAnsi"/>
                <w:b/>
                <w:bCs/>
              </w:rPr>
              <w:t>C</w:t>
            </w:r>
            <w:r w:rsidR="003C16C3" w:rsidRPr="004A38B2">
              <w:rPr>
                <w:rFonts w:cstheme="minorHAnsi"/>
                <w:b/>
                <w:bCs/>
              </w:rPr>
              <w:t>hair</w:t>
            </w:r>
          </w:p>
          <w:p w14:paraId="05F5583C" w14:textId="272BB280" w:rsidR="009F0E9C" w:rsidRPr="00750881" w:rsidRDefault="009F0E9C" w:rsidP="00081CFD">
            <w:pPr>
              <w:jc w:val="center"/>
              <w:rPr>
                <w:rFonts w:cstheme="minorHAnsi"/>
                <w:b/>
              </w:rPr>
            </w:pPr>
          </w:p>
        </w:tc>
      </w:tr>
      <w:tr w:rsidR="005C7931" w14:paraId="4C47E8AE" w14:textId="77777777" w:rsidTr="004A35C4">
        <w:tc>
          <w:tcPr>
            <w:tcW w:w="726" w:type="dxa"/>
            <w:tcBorders>
              <w:top w:val="single" w:sz="4" w:space="0" w:color="auto"/>
              <w:left w:val="single" w:sz="4" w:space="0" w:color="auto"/>
              <w:bottom w:val="single" w:sz="4" w:space="0" w:color="auto"/>
              <w:right w:val="single" w:sz="4" w:space="0" w:color="auto"/>
            </w:tcBorders>
          </w:tcPr>
          <w:p w14:paraId="1FCAABC5" w14:textId="77777777" w:rsidR="005C7931" w:rsidRPr="00623794" w:rsidRDefault="005C7931" w:rsidP="001B716A">
            <w:pPr>
              <w:pStyle w:val="ListParagraph"/>
              <w:numPr>
                <w:ilvl w:val="0"/>
                <w:numId w:val="26"/>
              </w:numPr>
            </w:pPr>
          </w:p>
        </w:tc>
        <w:tc>
          <w:tcPr>
            <w:tcW w:w="8662" w:type="dxa"/>
            <w:gridSpan w:val="2"/>
            <w:tcBorders>
              <w:top w:val="single" w:sz="4" w:space="0" w:color="auto"/>
              <w:left w:val="single" w:sz="4" w:space="0" w:color="auto"/>
              <w:bottom w:val="single" w:sz="4" w:space="0" w:color="auto"/>
              <w:right w:val="single" w:sz="4" w:space="0" w:color="auto"/>
            </w:tcBorders>
          </w:tcPr>
          <w:p w14:paraId="3D2C70D8" w14:textId="671E1E0E" w:rsidR="001B716A" w:rsidRDefault="00237A86" w:rsidP="00043F0A">
            <w:pPr>
              <w:jc w:val="both"/>
              <w:rPr>
                <w:rFonts w:cstheme="minorHAnsi"/>
                <w:b/>
              </w:rPr>
            </w:pPr>
            <w:r>
              <w:rPr>
                <w:rFonts w:cstheme="minorHAnsi"/>
                <w:b/>
              </w:rPr>
              <w:t>ANNUAL ACCOUNTS 202</w:t>
            </w:r>
            <w:r w:rsidR="00D47814">
              <w:rPr>
                <w:rFonts w:cstheme="minorHAnsi"/>
                <w:b/>
              </w:rPr>
              <w:t>2</w:t>
            </w:r>
            <w:r>
              <w:rPr>
                <w:rFonts w:cstheme="minorHAnsi"/>
                <w:b/>
              </w:rPr>
              <w:t>/2</w:t>
            </w:r>
            <w:r w:rsidR="00D47814">
              <w:rPr>
                <w:rFonts w:cstheme="minorHAnsi"/>
                <w:b/>
              </w:rPr>
              <w:t>3</w:t>
            </w:r>
            <w:r w:rsidR="00131E17">
              <w:rPr>
                <w:rFonts w:cstheme="minorHAnsi"/>
                <w:b/>
              </w:rPr>
              <w:t xml:space="preserve"> </w:t>
            </w:r>
          </w:p>
          <w:p w14:paraId="195A853A" w14:textId="558825C7" w:rsidR="00F44DB8" w:rsidRDefault="00F44DB8" w:rsidP="00F44DB8">
            <w:pPr>
              <w:numPr>
                <w:ilvl w:val="0"/>
                <w:numId w:val="35"/>
              </w:numPr>
              <w:jc w:val="both"/>
              <w:rPr>
                <w:b/>
                <w:bCs/>
              </w:rPr>
            </w:pPr>
            <w:r w:rsidRPr="00F44DB8">
              <w:rPr>
                <w:b/>
                <w:bCs/>
              </w:rPr>
              <w:t>Review Draft Annual Accounts 20</w:t>
            </w:r>
            <w:r>
              <w:rPr>
                <w:b/>
                <w:bCs/>
              </w:rPr>
              <w:t>22/23</w:t>
            </w:r>
          </w:p>
          <w:p w14:paraId="207D3A0B" w14:textId="28FDE5D0" w:rsidR="00E464EE" w:rsidRDefault="00E464EE" w:rsidP="00E464EE">
            <w:pPr>
              <w:jc w:val="both"/>
            </w:pPr>
            <w:r>
              <w:t xml:space="preserve">The Committee reviewed the draft Annual Accounts for 2022/23 and, subject to some minor amendments, agreed they should be submitted for final review and approval by the Standards Commission at its meeting </w:t>
            </w:r>
            <w:proofErr w:type="gramStart"/>
            <w:r>
              <w:t>later on</w:t>
            </w:r>
            <w:proofErr w:type="gramEnd"/>
            <w:r>
              <w:t xml:space="preserve"> 25 July 2023. </w:t>
            </w:r>
          </w:p>
          <w:p w14:paraId="631E351B" w14:textId="77777777" w:rsidR="00F44DB8" w:rsidRPr="00F44DB8" w:rsidRDefault="00F44DB8" w:rsidP="00F44DB8">
            <w:pPr>
              <w:jc w:val="both"/>
            </w:pPr>
          </w:p>
          <w:p w14:paraId="1A7852E9" w14:textId="18E849A4" w:rsidR="00F44DB8" w:rsidRDefault="00F44DB8" w:rsidP="00F44DB8">
            <w:pPr>
              <w:numPr>
                <w:ilvl w:val="0"/>
                <w:numId w:val="35"/>
              </w:numPr>
              <w:jc w:val="both"/>
              <w:rPr>
                <w:b/>
                <w:bCs/>
              </w:rPr>
            </w:pPr>
            <w:r w:rsidRPr="00F44DB8">
              <w:rPr>
                <w:b/>
                <w:bCs/>
              </w:rPr>
              <w:t>External Audit formalisation: Independent Auditor’s Report Management Letter</w:t>
            </w:r>
          </w:p>
          <w:p w14:paraId="04CEB684" w14:textId="388989AE" w:rsidR="00E464EE" w:rsidRDefault="00E464EE" w:rsidP="00E464EE">
            <w:pPr>
              <w:jc w:val="both"/>
            </w:pPr>
            <w:r w:rsidRPr="003632BE">
              <w:t xml:space="preserve">Mrs </w:t>
            </w:r>
            <w:r>
              <w:t>Maconachie</w:t>
            </w:r>
            <w:r w:rsidRPr="003632BE">
              <w:t xml:space="preserve"> introduced the external auditor’s report on the Standards Commission’s Annual Report and Accounts 202</w:t>
            </w:r>
            <w:r>
              <w:t>2</w:t>
            </w:r>
            <w:r w:rsidRPr="003632BE">
              <w:t>/</w:t>
            </w:r>
            <w:r>
              <w:t>23</w:t>
            </w:r>
            <w:r w:rsidRPr="003632BE">
              <w:t xml:space="preserve">. </w:t>
            </w:r>
            <w:r>
              <w:t>Mrs Maconachie</w:t>
            </w:r>
            <w:r w:rsidRPr="003632BE">
              <w:t xml:space="preserve"> advised that Audit Scotland was satisfied that the annual accounts had been properly prepared in accordance with applicable </w:t>
            </w:r>
            <w:r w:rsidRPr="003632BE">
              <w:lastRenderedPageBreak/>
              <w:t>legislation and that the financial statements gave a fair and true view of the Standards Commission’s affairs and net expenditure.</w:t>
            </w:r>
            <w:r>
              <w:t xml:space="preserve"> </w:t>
            </w:r>
          </w:p>
          <w:p w14:paraId="093C88F3" w14:textId="77777777" w:rsidR="00E464EE" w:rsidRDefault="00E464EE" w:rsidP="00E464EE">
            <w:pPr>
              <w:jc w:val="both"/>
            </w:pPr>
          </w:p>
          <w:p w14:paraId="725E7F15" w14:textId="4E3D8C85" w:rsidR="00E464EE" w:rsidRDefault="00E464EE" w:rsidP="00E464EE">
            <w:pPr>
              <w:jc w:val="both"/>
            </w:pPr>
            <w:proofErr w:type="gramStart"/>
            <w:r>
              <w:t>In light of</w:t>
            </w:r>
            <w:proofErr w:type="gramEnd"/>
            <w:r>
              <w:t xml:space="preserve"> the external report, the Committee agreed the terms of the draft ISA 580 management response letter. The Committee noted that the Executive Director was not aware of any instances involving fraud or subsequent events that had occurred since 31 March 2023, that would require to be brought to the attention of the independent auditors. The Committee agreed, therefore, that it was content for the letter to be submitted to the Standards Commission for approval at its meeting </w:t>
            </w:r>
            <w:proofErr w:type="gramStart"/>
            <w:r>
              <w:t>later on</w:t>
            </w:r>
            <w:proofErr w:type="gramEnd"/>
            <w:r>
              <w:t xml:space="preserve"> 25 July 2023.</w:t>
            </w:r>
          </w:p>
          <w:p w14:paraId="225DE395" w14:textId="77777777" w:rsidR="00F44DB8" w:rsidRPr="00F44DB8" w:rsidRDefault="00F44DB8" w:rsidP="00F44DB8">
            <w:pPr>
              <w:jc w:val="both"/>
            </w:pPr>
          </w:p>
          <w:p w14:paraId="763E504A" w14:textId="180187FE" w:rsidR="00F44DB8" w:rsidRPr="00F44DB8" w:rsidRDefault="00F44DB8" w:rsidP="00F44DB8">
            <w:pPr>
              <w:numPr>
                <w:ilvl w:val="0"/>
                <w:numId w:val="35"/>
              </w:numPr>
              <w:jc w:val="both"/>
              <w:rPr>
                <w:b/>
                <w:bCs/>
              </w:rPr>
            </w:pPr>
            <w:r>
              <w:rPr>
                <w:b/>
                <w:bCs/>
              </w:rPr>
              <w:t>Draft Audit Report 2022/23</w:t>
            </w:r>
          </w:p>
          <w:p w14:paraId="7DC95007" w14:textId="38B7D53E" w:rsidR="00E464EE" w:rsidRDefault="00E464EE" w:rsidP="00E464EE">
            <w:pPr>
              <w:jc w:val="both"/>
            </w:pPr>
            <w:r w:rsidRPr="001D0941">
              <w:t xml:space="preserve">Mrs </w:t>
            </w:r>
            <w:r>
              <w:t>Maconachie</w:t>
            </w:r>
            <w:r w:rsidRPr="001D0941">
              <w:t xml:space="preserve"> introduced the proposed annual external audit report. She advised that the auditors had applied the provisions relating to small bodies under the Code of Audit Practice 2016. Mrs </w:t>
            </w:r>
            <w:r>
              <w:t>Maconachie</w:t>
            </w:r>
            <w:r w:rsidRPr="001D0941">
              <w:t xml:space="preserve"> confirmed that the independent audit had concluded that the Standards Commission had adequate short, </w:t>
            </w:r>
            <w:proofErr w:type="gramStart"/>
            <w:r w:rsidRPr="001D0941">
              <w:t>medium</w:t>
            </w:r>
            <w:proofErr w:type="gramEnd"/>
            <w:r w:rsidRPr="001D0941">
              <w:t xml:space="preserve"> and long-term financial planning and governance arrangements and plans in place. Mrs </w:t>
            </w:r>
            <w:r>
              <w:t>Maconachie</w:t>
            </w:r>
            <w:r w:rsidRPr="001D0941">
              <w:t xml:space="preserve"> further confirmed that she was satisfied that the disclosures in the Governance Statement were consistent with the financial statements and the statement had been prepared in accordance with the relevant statutory guidance.</w:t>
            </w:r>
            <w:r w:rsidR="00560778">
              <w:t xml:space="preserve"> Mrs Maconachie advised that the draft audit report contained one recommendation, that the Standards Commission work with the SPCB to refresh the existing service level agreement with IT to ensure this reflects current services, including cyber security.</w:t>
            </w:r>
          </w:p>
          <w:p w14:paraId="185258E5" w14:textId="2A290536" w:rsidR="00E464EE" w:rsidRDefault="00E464EE" w:rsidP="00E464EE">
            <w:pPr>
              <w:jc w:val="both"/>
            </w:pPr>
          </w:p>
          <w:p w14:paraId="02B9AF0E" w14:textId="2EDF9504" w:rsidR="00E464EE" w:rsidRPr="001D0941" w:rsidRDefault="00E464EE" w:rsidP="00E464EE">
            <w:pPr>
              <w:jc w:val="both"/>
            </w:pPr>
            <w:r w:rsidRPr="006E625C">
              <w:t>The Chair</w:t>
            </w:r>
            <w:r>
              <w:t xml:space="preserve"> and Executive Director both</w:t>
            </w:r>
            <w:r w:rsidRPr="006E625C">
              <w:t xml:space="preserve"> thanked M</w:t>
            </w:r>
            <w:r>
              <w:t>r</w:t>
            </w:r>
            <w:r w:rsidRPr="006E625C">
              <w:t xml:space="preserve">s </w:t>
            </w:r>
            <w:r>
              <w:t>Maconachie and Mrs McCreadie for their</w:t>
            </w:r>
            <w:r w:rsidRPr="006E625C">
              <w:t xml:space="preserve"> attendance at the meeting</w:t>
            </w:r>
            <w:r>
              <w:t xml:space="preserve"> and for their support with this year’s audit.</w:t>
            </w:r>
          </w:p>
          <w:p w14:paraId="65484E2D" w14:textId="63C69D29" w:rsidR="003C16C3" w:rsidRPr="00F44DB8" w:rsidRDefault="003C16C3" w:rsidP="00F44DB8">
            <w:pPr>
              <w:jc w:val="both"/>
              <w:rPr>
                <w:bCs/>
              </w:rPr>
            </w:pPr>
          </w:p>
        </w:tc>
        <w:tc>
          <w:tcPr>
            <w:tcW w:w="1091" w:type="dxa"/>
            <w:tcBorders>
              <w:top w:val="single" w:sz="4" w:space="0" w:color="auto"/>
              <w:left w:val="single" w:sz="4" w:space="0" w:color="auto"/>
              <w:bottom w:val="single" w:sz="4" w:space="0" w:color="auto"/>
              <w:right w:val="single" w:sz="4" w:space="0" w:color="auto"/>
            </w:tcBorders>
          </w:tcPr>
          <w:p w14:paraId="21EBFCF3" w14:textId="77777777" w:rsidR="00493D01" w:rsidRDefault="00493D01" w:rsidP="00081CFD">
            <w:pPr>
              <w:pStyle w:val="ListParagraph"/>
              <w:ind w:left="-96"/>
              <w:jc w:val="center"/>
              <w:rPr>
                <w:b/>
              </w:rPr>
            </w:pPr>
          </w:p>
          <w:p w14:paraId="7A3DF579" w14:textId="7AF050FB" w:rsidR="003C16C3" w:rsidRDefault="003C16C3" w:rsidP="00081CFD">
            <w:pPr>
              <w:pStyle w:val="ListParagraph"/>
              <w:ind w:left="-96"/>
              <w:jc w:val="center"/>
              <w:rPr>
                <w:bCs/>
              </w:rPr>
            </w:pPr>
          </w:p>
          <w:p w14:paraId="136065EC" w14:textId="0814368E" w:rsidR="00082B4C" w:rsidRPr="00F44DB8" w:rsidRDefault="003C16C3" w:rsidP="00081CFD">
            <w:pPr>
              <w:pStyle w:val="ListParagraph"/>
              <w:ind w:left="-96"/>
              <w:jc w:val="center"/>
              <w:rPr>
                <w:b/>
              </w:rPr>
            </w:pPr>
            <w:r w:rsidRPr="00AE262B">
              <w:rPr>
                <w:b/>
              </w:rPr>
              <w:t>Executive Team</w:t>
            </w:r>
          </w:p>
          <w:p w14:paraId="77EFF99D" w14:textId="000322F3" w:rsidR="00D47814" w:rsidRDefault="00D47814" w:rsidP="00081CFD">
            <w:pPr>
              <w:pStyle w:val="ListParagraph"/>
              <w:ind w:left="-96"/>
              <w:jc w:val="center"/>
            </w:pPr>
          </w:p>
        </w:tc>
      </w:tr>
      <w:tr w:rsidR="001B716A" w14:paraId="0C86AE68" w14:textId="77777777" w:rsidTr="004A35C4">
        <w:tc>
          <w:tcPr>
            <w:tcW w:w="726" w:type="dxa"/>
            <w:tcBorders>
              <w:top w:val="single" w:sz="4" w:space="0" w:color="auto"/>
              <w:left w:val="single" w:sz="4" w:space="0" w:color="auto"/>
              <w:bottom w:val="single" w:sz="4" w:space="0" w:color="auto"/>
              <w:right w:val="single" w:sz="4" w:space="0" w:color="auto"/>
            </w:tcBorders>
          </w:tcPr>
          <w:p w14:paraId="7DB643BC" w14:textId="77777777" w:rsidR="001B716A" w:rsidRPr="00623794" w:rsidRDefault="001B716A" w:rsidP="001B716A">
            <w:pPr>
              <w:pStyle w:val="ListParagraph"/>
              <w:numPr>
                <w:ilvl w:val="0"/>
                <w:numId w:val="26"/>
              </w:numPr>
            </w:pPr>
          </w:p>
        </w:tc>
        <w:tc>
          <w:tcPr>
            <w:tcW w:w="8662" w:type="dxa"/>
            <w:gridSpan w:val="2"/>
            <w:tcBorders>
              <w:top w:val="single" w:sz="4" w:space="0" w:color="auto"/>
              <w:left w:val="single" w:sz="4" w:space="0" w:color="auto"/>
              <w:bottom w:val="single" w:sz="4" w:space="0" w:color="auto"/>
              <w:right w:val="single" w:sz="4" w:space="0" w:color="auto"/>
            </w:tcBorders>
          </w:tcPr>
          <w:p w14:paraId="3915DE51" w14:textId="77777777" w:rsidR="00F44DB8" w:rsidRPr="004A35C4" w:rsidRDefault="00A46144" w:rsidP="00F44DB8">
            <w:pPr>
              <w:pStyle w:val="ListParagraph"/>
              <w:ind w:left="3" w:hanging="3"/>
              <w:jc w:val="both"/>
              <w:rPr>
                <w:b/>
              </w:rPr>
            </w:pPr>
            <w:r w:rsidRPr="004A35C4">
              <w:rPr>
                <w:b/>
              </w:rPr>
              <w:t xml:space="preserve">INTERNAL AUDIT </w:t>
            </w:r>
            <w:r w:rsidR="00F44DB8">
              <w:rPr>
                <w:b/>
              </w:rPr>
              <w:t>SERVICES</w:t>
            </w:r>
          </w:p>
          <w:p w14:paraId="16FE9269" w14:textId="41FA7D68" w:rsidR="00F44DB8" w:rsidRDefault="00F44DB8" w:rsidP="00F44DB8">
            <w:pPr>
              <w:pStyle w:val="ListParagraph"/>
              <w:numPr>
                <w:ilvl w:val="0"/>
                <w:numId w:val="36"/>
              </w:numPr>
              <w:jc w:val="both"/>
              <w:rPr>
                <w:b/>
              </w:rPr>
            </w:pPr>
            <w:r w:rsidRPr="00082B4C">
              <w:rPr>
                <w:b/>
              </w:rPr>
              <w:t>Annual Internal Audit Assurance Report</w:t>
            </w:r>
          </w:p>
          <w:p w14:paraId="2E10986F" w14:textId="765CAEC0" w:rsidR="00E464EE" w:rsidRDefault="00E464EE" w:rsidP="00E464EE">
            <w:pPr>
              <w:jc w:val="both"/>
            </w:pPr>
            <w:r>
              <w:t xml:space="preserve">Mr Munro introduced the draft Internal Audit Assurance Report, which provided the Accountable Officer and Committee with an assurance on the adequacy and effectiveness of the systems of internal control in operation during 2022/23. Mr Munro reported that he was satisfied that he could offer a satisfactory level of assurance that arrangements, systems, processes, and internal controls were robust and were operating effectively, thereby ensuring risk is maintained at an acceptable level. As such, Mr Munro was able to advise the independent auditors that they could take substantial assurance from the areas reviewed as evidence in support of the Accountable Officer’s Governance Statement in the Annual Report and Accounts 2022/23. </w:t>
            </w:r>
          </w:p>
          <w:p w14:paraId="41A9E92E" w14:textId="77777777" w:rsidR="00F44DB8" w:rsidRPr="00F44DB8" w:rsidRDefault="00F44DB8" w:rsidP="00F44DB8">
            <w:pPr>
              <w:ind w:left="3"/>
              <w:jc w:val="both"/>
              <w:rPr>
                <w:bCs/>
              </w:rPr>
            </w:pPr>
          </w:p>
          <w:p w14:paraId="70E68613" w14:textId="0FB3D5F1" w:rsidR="00F44DB8" w:rsidRDefault="00F44DB8" w:rsidP="00F44DB8">
            <w:pPr>
              <w:pStyle w:val="ListParagraph"/>
              <w:numPr>
                <w:ilvl w:val="0"/>
                <w:numId w:val="36"/>
              </w:numPr>
              <w:jc w:val="both"/>
              <w:rPr>
                <w:b/>
              </w:rPr>
            </w:pPr>
            <w:r>
              <w:rPr>
                <w:b/>
              </w:rPr>
              <w:t>Review of General Financial Control Environment</w:t>
            </w:r>
          </w:p>
          <w:p w14:paraId="7464018F" w14:textId="2397C236" w:rsidR="00AA217B" w:rsidRDefault="003A5D19" w:rsidP="00AA217B">
            <w:pPr>
              <w:numPr>
                <w:ilvl w:val="2"/>
                <w:numId w:val="43"/>
              </w:numPr>
              <w:tabs>
                <w:tab w:val="left" w:pos="2757"/>
              </w:tabs>
            </w:pPr>
            <w:r>
              <w:t xml:space="preserve">Mr Munro then introduced the internal audit report on the general financial control </w:t>
            </w:r>
            <w:r w:rsidRPr="00AA217B">
              <w:t xml:space="preserve">environment. Mr Munro advised that the </w:t>
            </w:r>
            <w:r w:rsidR="00AA217B" w:rsidRPr="00AA217B">
              <w:t xml:space="preserve">overall objective of the </w:t>
            </w:r>
            <w:r w:rsidRPr="00AA217B">
              <w:t xml:space="preserve">audit </w:t>
            </w:r>
            <w:r w:rsidR="00AA217B">
              <w:t>was to</w:t>
            </w:r>
            <w:r w:rsidR="00AA217B" w:rsidRPr="00AA217B">
              <w:t xml:space="preserve"> review and evaluate key financial transaction processing controls to thereby offer assurance that these are in place and are operating effectively, consistent with internal policies and procedures, service agreements and contractual</w:t>
            </w:r>
            <w:r w:rsidR="00AA217B" w:rsidRPr="006664DF">
              <w:rPr>
                <w:rFonts w:ascii="Arial" w:hAnsi="Arial" w:cs="Arial"/>
                <w:sz w:val="24"/>
                <w:szCs w:val="24"/>
              </w:rPr>
              <w:t xml:space="preserve"> </w:t>
            </w:r>
            <w:r w:rsidR="00AA217B" w:rsidRPr="00AA217B">
              <w:t xml:space="preserve">requirements. </w:t>
            </w:r>
          </w:p>
          <w:p w14:paraId="100246BF" w14:textId="7E06D2F1" w:rsidR="00AA217B" w:rsidRDefault="00AA217B" w:rsidP="00AA217B">
            <w:pPr>
              <w:tabs>
                <w:tab w:val="left" w:pos="2757"/>
              </w:tabs>
            </w:pPr>
          </w:p>
          <w:p w14:paraId="1611D405" w14:textId="0D5AE2EE" w:rsidR="00AA217B" w:rsidRPr="00AA217B" w:rsidRDefault="00AA217B" w:rsidP="00AA217B">
            <w:pPr>
              <w:pStyle w:val="ListParagraph"/>
              <w:numPr>
                <w:ilvl w:val="0"/>
                <w:numId w:val="44"/>
              </w:numPr>
              <w:ind w:left="0" w:hanging="709"/>
              <w:contextualSpacing w:val="0"/>
            </w:pPr>
            <w:r>
              <w:t>Mr Munro reported that b</w:t>
            </w:r>
            <w:r w:rsidRPr="00AA217B">
              <w:t>ased on the audit work performed, there is sufficient audit evidence in place to confirm that the S</w:t>
            </w:r>
            <w:r>
              <w:t>tandards Commission</w:t>
            </w:r>
            <w:r w:rsidRPr="00AA217B">
              <w:t xml:space="preserve"> has robust systems and key controls in place to ensure accurate, </w:t>
            </w:r>
            <w:proofErr w:type="gramStart"/>
            <w:r w:rsidRPr="00AA217B">
              <w:t>reliable</w:t>
            </w:r>
            <w:proofErr w:type="gramEnd"/>
            <w:r w:rsidRPr="00AA217B">
              <w:t xml:space="preserve"> and complete financial information. Separation of duties and single point of failure risks are managed by way of service level arrangements with </w:t>
            </w:r>
            <w:r>
              <w:t xml:space="preserve">the </w:t>
            </w:r>
            <w:r w:rsidRPr="00AA217B">
              <w:t>Finance Office of the Scottish Parliament and an external contract with a specialist payroll provider. It was further confirmed that information provided to third parties is subject to sufficient controls, checks and balances.</w:t>
            </w:r>
            <w:r>
              <w:t xml:space="preserve"> </w:t>
            </w:r>
            <w:r w:rsidRPr="00AA217B">
              <w:t>There are no significant risks or improvement recommendations arising from this review.</w:t>
            </w:r>
          </w:p>
          <w:p w14:paraId="56FE38A1" w14:textId="72C073AA" w:rsidR="003A5D19" w:rsidRDefault="003A5D19" w:rsidP="00F44DB8">
            <w:pPr>
              <w:ind w:left="3"/>
              <w:jc w:val="both"/>
              <w:rPr>
                <w:bCs/>
              </w:rPr>
            </w:pPr>
          </w:p>
          <w:p w14:paraId="5C222B3B" w14:textId="3700B1CA" w:rsidR="00AA217B" w:rsidRPr="00AA217B" w:rsidRDefault="00AA217B" w:rsidP="00F44DB8">
            <w:pPr>
              <w:ind w:left="3"/>
              <w:jc w:val="both"/>
            </w:pPr>
            <w:r>
              <w:rPr>
                <w:bCs/>
              </w:rPr>
              <w:t>Overall, b</w:t>
            </w:r>
            <w:r w:rsidRPr="00AA217B">
              <w:t>ased on the detailed testing and conclusions reached, a</w:t>
            </w:r>
            <w:r>
              <w:t xml:space="preserve"> substantial</w:t>
            </w:r>
            <w:r w:rsidRPr="00AA217B">
              <w:t xml:space="preserve"> level of assurance is offered over the systems, </w:t>
            </w:r>
            <w:proofErr w:type="gramStart"/>
            <w:r w:rsidRPr="00AA217B">
              <w:t>controls</w:t>
            </w:r>
            <w:proofErr w:type="gramEnd"/>
            <w:r w:rsidRPr="00AA217B">
              <w:t xml:space="preserve"> and process in place with regards to financial controls. </w:t>
            </w:r>
          </w:p>
          <w:p w14:paraId="00589458" w14:textId="155483D8" w:rsidR="003C16C3" w:rsidRPr="004A35C4" w:rsidRDefault="003C16C3" w:rsidP="00F44DB8">
            <w:pPr>
              <w:pStyle w:val="ListParagraph"/>
              <w:ind w:left="3" w:hanging="3"/>
              <w:jc w:val="both"/>
            </w:pPr>
          </w:p>
        </w:tc>
        <w:tc>
          <w:tcPr>
            <w:tcW w:w="1091" w:type="dxa"/>
            <w:tcBorders>
              <w:top w:val="single" w:sz="4" w:space="0" w:color="auto"/>
              <w:left w:val="single" w:sz="4" w:space="0" w:color="auto"/>
              <w:bottom w:val="single" w:sz="4" w:space="0" w:color="auto"/>
              <w:right w:val="single" w:sz="4" w:space="0" w:color="auto"/>
            </w:tcBorders>
          </w:tcPr>
          <w:p w14:paraId="44EDC9C8" w14:textId="7162E07C" w:rsidR="009F0E9C" w:rsidRDefault="009F0E9C" w:rsidP="0074681F">
            <w:pPr>
              <w:pStyle w:val="ListParagraph"/>
              <w:ind w:left="0"/>
              <w:rPr>
                <w:b/>
              </w:rPr>
            </w:pPr>
          </w:p>
          <w:p w14:paraId="794AE549" w14:textId="4C21BF16" w:rsidR="009F0E9C" w:rsidRDefault="009F0E9C" w:rsidP="0074681F">
            <w:pPr>
              <w:pStyle w:val="ListParagraph"/>
              <w:ind w:left="0"/>
              <w:rPr>
                <w:b/>
              </w:rPr>
            </w:pPr>
          </w:p>
          <w:p w14:paraId="62EF013A" w14:textId="060EFE51" w:rsidR="009F0E9C" w:rsidRDefault="009F0E9C" w:rsidP="0074681F">
            <w:pPr>
              <w:pStyle w:val="ListParagraph"/>
              <w:ind w:left="0"/>
              <w:rPr>
                <w:b/>
              </w:rPr>
            </w:pPr>
          </w:p>
          <w:p w14:paraId="083F20A7" w14:textId="77777777" w:rsidR="009F0E9C" w:rsidRDefault="009F0E9C" w:rsidP="0074681F">
            <w:pPr>
              <w:pStyle w:val="ListParagraph"/>
              <w:ind w:left="0"/>
              <w:rPr>
                <w:b/>
              </w:rPr>
            </w:pPr>
          </w:p>
          <w:p w14:paraId="581DDBD0" w14:textId="2EF30276" w:rsidR="00394B3E" w:rsidRPr="0078484D" w:rsidRDefault="00394B3E" w:rsidP="0074681F">
            <w:pPr>
              <w:pStyle w:val="ListParagraph"/>
              <w:ind w:left="0"/>
              <w:rPr>
                <w:b/>
              </w:rPr>
            </w:pPr>
          </w:p>
        </w:tc>
      </w:tr>
      <w:tr w:rsidR="00A46144" w14:paraId="0396C8BA" w14:textId="77777777" w:rsidTr="00A46144">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3E50252" w14:textId="6F6CAE0F" w:rsidR="00A46144" w:rsidRDefault="004A35C4" w:rsidP="00A46144">
            <w:pPr>
              <w:pStyle w:val="ListParagraph"/>
              <w:ind w:left="0"/>
              <w:rPr>
                <w:b/>
              </w:rPr>
            </w:pPr>
            <w:r>
              <w:rPr>
                <w:b/>
              </w:rPr>
              <w:t>ANY OTHER BUSINESS</w:t>
            </w:r>
          </w:p>
        </w:tc>
      </w:tr>
      <w:tr w:rsidR="00A46144" w14:paraId="66A911DF" w14:textId="77777777" w:rsidTr="004A35C4">
        <w:tc>
          <w:tcPr>
            <w:tcW w:w="726" w:type="dxa"/>
            <w:tcBorders>
              <w:top w:val="single" w:sz="4" w:space="0" w:color="auto"/>
              <w:left w:val="single" w:sz="4" w:space="0" w:color="auto"/>
              <w:bottom w:val="single" w:sz="4" w:space="0" w:color="auto"/>
              <w:right w:val="single" w:sz="4" w:space="0" w:color="auto"/>
            </w:tcBorders>
          </w:tcPr>
          <w:p w14:paraId="4A9F3F3E" w14:textId="77777777" w:rsidR="00A46144" w:rsidRPr="00623794" w:rsidRDefault="00A46144" w:rsidP="00A46144">
            <w:pPr>
              <w:pStyle w:val="ListParagraph"/>
              <w:numPr>
                <w:ilvl w:val="0"/>
                <w:numId w:val="26"/>
              </w:numPr>
            </w:pPr>
          </w:p>
        </w:tc>
        <w:tc>
          <w:tcPr>
            <w:tcW w:w="8662" w:type="dxa"/>
            <w:gridSpan w:val="2"/>
            <w:tcBorders>
              <w:top w:val="single" w:sz="4" w:space="0" w:color="auto"/>
              <w:left w:val="single" w:sz="4" w:space="0" w:color="auto"/>
              <w:bottom w:val="single" w:sz="4" w:space="0" w:color="auto"/>
              <w:right w:val="single" w:sz="4" w:space="0" w:color="auto"/>
            </w:tcBorders>
          </w:tcPr>
          <w:p w14:paraId="64CCEF2C" w14:textId="67E67747" w:rsidR="00234225" w:rsidRPr="00D069DE" w:rsidRDefault="003C16C3" w:rsidP="002C1FE8">
            <w:pPr>
              <w:pStyle w:val="ListParagraph"/>
              <w:ind w:left="3" w:hanging="3"/>
            </w:pPr>
            <w:r>
              <w:t>None.</w:t>
            </w:r>
          </w:p>
        </w:tc>
        <w:tc>
          <w:tcPr>
            <w:tcW w:w="1091" w:type="dxa"/>
            <w:tcBorders>
              <w:top w:val="single" w:sz="4" w:space="0" w:color="auto"/>
              <w:left w:val="single" w:sz="4" w:space="0" w:color="auto"/>
              <w:bottom w:val="single" w:sz="4" w:space="0" w:color="auto"/>
              <w:right w:val="single" w:sz="4" w:space="0" w:color="auto"/>
            </w:tcBorders>
          </w:tcPr>
          <w:p w14:paraId="25004E31" w14:textId="77777777" w:rsidR="00A46144" w:rsidRDefault="00A46144" w:rsidP="00A46144">
            <w:pPr>
              <w:pStyle w:val="ListParagraph"/>
              <w:ind w:left="-96"/>
              <w:jc w:val="center"/>
              <w:rPr>
                <w:b/>
              </w:rPr>
            </w:pPr>
          </w:p>
          <w:p w14:paraId="17C47429" w14:textId="77777777" w:rsidR="00D67C66" w:rsidRDefault="00D67C66" w:rsidP="00A46144">
            <w:pPr>
              <w:pStyle w:val="ListParagraph"/>
              <w:ind w:left="-96"/>
              <w:jc w:val="center"/>
              <w:rPr>
                <w:b/>
              </w:rPr>
            </w:pPr>
          </w:p>
        </w:tc>
      </w:tr>
      <w:tr w:rsidR="00A46144" w14:paraId="79A68D15" w14:textId="77777777" w:rsidTr="00A46144">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F1F9510" w14:textId="0D62D324" w:rsidR="00A46144" w:rsidRDefault="004A35C4" w:rsidP="00A46144">
            <w:pPr>
              <w:pStyle w:val="ListParagraph"/>
              <w:ind w:left="29"/>
              <w:rPr>
                <w:b/>
              </w:rPr>
            </w:pPr>
            <w:r>
              <w:rPr>
                <w:b/>
              </w:rPr>
              <w:t>NEXT MEETING</w:t>
            </w:r>
          </w:p>
        </w:tc>
      </w:tr>
      <w:tr w:rsidR="00A46144" w14:paraId="538B5749" w14:textId="77777777" w:rsidTr="004A35C4">
        <w:tc>
          <w:tcPr>
            <w:tcW w:w="726" w:type="dxa"/>
            <w:tcBorders>
              <w:top w:val="single" w:sz="4" w:space="0" w:color="auto"/>
              <w:left w:val="single" w:sz="4" w:space="0" w:color="auto"/>
              <w:bottom w:val="single" w:sz="4" w:space="0" w:color="auto"/>
              <w:right w:val="single" w:sz="4" w:space="0" w:color="auto"/>
            </w:tcBorders>
          </w:tcPr>
          <w:p w14:paraId="057F4BA7" w14:textId="77777777" w:rsidR="00A46144" w:rsidRPr="00623794" w:rsidRDefault="00A46144" w:rsidP="00A46144">
            <w:pPr>
              <w:pStyle w:val="ListParagraph"/>
              <w:numPr>
                <w:ilvl w:val="0"/>
                <w:numId w:val="26"/>
              </w:numPr>
            </w:pPr>
          </w:p>
        </w:tc>
        <w:tc>
          <w:tcPr>
            <w:tcW w:w="8662" w:type="dxa"/>
            <w:gridSpan w:val="2"/>
            <w:tcBorders>
              <w:top w:val="single" w:sz="4" w:space="0" w:color="auto"/>
              <w:left w:val="single" w:sz="4" w:space="0" w:color="auto"/>
              <w:bottom w:val="single" w:sz="4" w:space="0" w:color="auto"/>
              <w:right w:val="single" w:sz="4" w:space="0" w:color="auto"/>
            </w:tcBorders>
          </w:tcPr>
          <w:p w14:paraId="0AEC4A1E" w14:textId="77777777" w:rsidR="00D67C66" w:rsidRDefault="00D069DE" w:rsidP="00F5413E">
            <w:pPr>
              <w:pStyle w:val="ListParagraph"/>
              <w:ind w:left="3" w:hanging="3"/>
            </w:pPr>
            <w:r w:rsidRPr="00290425">
              <w:t xml:space="preserve">The Committee </w:t>
            </w:r>
            <w:r>
              <w:t xml:space="preserve">noted that it was </w:t>
            </w:r>
            <w:r w:rsidRPr="00E84CFE">
              <w:t xml:space="preserve">next scheduled to meet on </w:t>
            </w:r>
            <w:r w:rsidR="00C0404B" w:rsidRPr="00E84CFE">
              <w:t xml:space="preserve">Tuesday, </w:t>
            </w:r>
            <w:r w:rsidR="00081CFD">
              <w:t>23 January</w:t>
            </w:r>
            <w:r w:rsidRPr="00E84CFE">
              <w:t xml:space="preserve"> 202</w:t>
            </w:r>
            <w:r w:rsidR="00081CFD">
              <w:t>4</w:t>
            </w:r>
            <w:r w:rsidRPr="00E84CFE">
              <w:t>.</w:t>
            </w:r>
          </w:p>
          <w:p w14:paraId="049BEF4D" w14:textId="30F039F5" w:rsidR="00884025" w:rsidRPr="00A46144" w:rsidRDefault="00884025" w:rsidP="00F5413E">
            <w:pPr>
              <w:pStyle w:val="ListParagraph"/>
              <w:ind w:left="3" w:hanging="3"/>
            </w:pPr>
          </w:p>
        </w:tc>
        <w:tc>
          <w:tcPr>
            <w:tcW w:w="1091" w:type="dxa"/>
            <w:tcBorders>
              <w:top w:val="single" w:sz="4" w:space="0" w:color="auto"/>
              <w:left w:val="single" w:sz="4" w:space="0" w:color="auto"/>
              <w:bottom w:val="single" w:sz="4" w:space="0" w:color="auto"/>
              <w:right w:val="single" w:sz="4" w:space="0" w:color="auto"/>
            </w:tcBorders>
          </w:tcPr>
          <w:p w14:paraId="0B72F0C4" w14:textId="5C552C4A" w:rsidR="00D67C66" w:rsidRDefault="00D67C66" w:rsidP="00A46144">
            <w:pPr>
              <w:pStyle w:val="ListParagraph"/>
              <w:ind w:left="-96"/>
              <w:jc w:val="center"/>
              <w:rPr>
                <w:b/>
              </w:rPr>
            </w:pPr>
          </w:p>
        </w:tc>
      </w:tr>
    </w:tbl>
    <w:p w14:paraId="23A05B52" w14:textId="77777777" w:rsidR="001A3C46" w:rsidRDefault="001A3C46" w:rsidP="00F5413E"/>
    <w:sectPr w:rsidR="001A3C46" w:rsidSect="009E0074">
      <w:headerReference w:type="first" r:id="rId8"/>
      <w:footerReference w:type="first" r:id="rId9"/>
      <w:pgSz w:w="11906" w:h="16838"/>
      <w:pgMar w:top="709" w:right="707" w:bottom="720" w:left="720" w:header="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990E" w14:textId="77777777" w:rsidR="00C20573" w:rsidRDefault="00C20573" w:rsidP="0052545A">
      <w:pPr>
        <w:spacing w:after="0" w:line="240" w:lineRule="auto"/>
      </w:pPr>
      <w:r>
        <w:separator/>
      </w:r>
    </w:p>
  </w:endnote>
  <w:endnote w:type="continuationSeparator" w:id="0">
    <w:p w14:paraId="6C8AFE5E" w14:textId="77777777" w:rsidR="00C20573" w:rsidRDefault="00C20573"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A2E6" w14:textId="77777777" w:rsidR="006D1FF5" w:rsidRPr="00917C86" w:rsidRDefault="00917C86" w:rsidP="00917C86">
    <w:pPr>
      <w:pStyle w:val="Footer"/>
      <w:jc w:val="center"/>
      <w:rPr>
        <w:b/>
        <w:color w:val="82BC00"/>
        <w:spacing w:val="120"/>
        <w:sz w:val="56"/>
      </w:rPr>
    </w:pPr>
    <w:r w:rsidRPr="009A69B4">
      <w:rPr>
        <w:b/>
        <w:color w:val="82BC00"/>
        <w:spacing w:val="120"/>
        <w:sz w:val="56"/>
      </w:rPr>
      <w:t>INTEGRITY IN PUBLIC 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5783" w14:textId="77777777" w:rsidR="00C20573" w:rsidRDefault="00C20573" w:rsidP="0052545A">
      <w:pPr>
        <w:spacing w:after="0" w:line="240" w:lineRule="auto"/>
      </w:pPr>
      <w:r>
        <w:separator/>
      </w:r>
    </w:p>
  </w:footnote>
  <w:footnote w:type="continuationSeparator" w:id="0">
    <w:p w14:paraId="6156CD2F" w14:textId="77777777" w:rsidR="00C20573" w:rsidRDefault="00C20573"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613D" w14:textId="4A639261" w:rsidR="00D8287E" w:rsidRDefault="00D8287E" w:rsidP="0052545A">
    <w:pPr>
      <w:pStyle w:val="Header"/>
      <w:jc w:val="right"/>
    </w:pPr>
    <w:r>
      <w:rPr>
        <w:noProof/>
        <w:lang w:eastAsia="en-GB"/>
      </w:rPr>
      <w:drawing>
        <wp:anchor distT="0" distB="0" distL="114300" distR="114300" simplePos="0" relativeHeight="251657216" behindDoc="1" locked="0" layoutInCell="1" allowOverlap="1" wp14:anchorId="4FBF754B" wp14:editId="7F038C05">
          <wp:simplePos x="0" y="0"/>
          <wp:positionH relativeFrom="column">
            <wp:posOffset>6248400</wp:posOffset>
          </wp:positionH>
          <wp:positionV relativeFrom="paragraph">
            <wp:posOffset>90805</wp:posOffset>
          </wp:positionV>
          <wp:extent cx="792480" cy="10535920"/>
          <wp:effectExtent l="0" t="0" r="26670" b="1778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5245"/>
    </w:tblGrid>
    <w:tr w:rsidR="00D8287E" w14:paraId="11C2FBC4" w14:textId="77777777" w:rsidTr="0052545A">
      <w:tc>
        <w:tcPr>
          <w:tcW w:w="4361" w:type="dxa"/>
          <w:hideMark/>
        </w:tcPr>
        <w:p w14:paraId="61654A35" w14:textId="77777777" w:rsidR="00D8287E" w:rsidRDefault="00D8287E">
          <w:pPr>
            <w:pStyle w:val="Header"/>
          </w:pPr>
          <w:r>
            <w:rPr>
              <w:noProof/>
              <w:lang w:eastAsia="en-GB"/>
            </w:rPr>
            <w:drawing>
              <wp:inline distT="0" distB="0" distL="0" distR="0" wp14:anchorId="461F8A7C" wp14:editId="43109BD3">
                <wp:extent cx="2980055" cy="929526"/>
                <wp:effectExtent l="0" t="0" r="0" b="444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0055" cy="929526"/>
                        </a:xfrm>
                        <a:prstGeom prst="rect">
                          <a:avLst/>
                        </a:prstGeom>
                      </pic:spPr>
                    </pic:pic>
                  </a:graphicData>
                </a:graphic>
              </wp:inline>
            </w:drawing>
          </w:r>
        </w:p>
      </w:tc>
      <w:tc>
        <w:tcPr>
          <w:tcW w:w="5245" w:type="dxa"/>
        </w:tcPr>
        <w:p w14:paraId="05DCC66C" w14:textId="77777777" w:rsidR="00D8287E" w:rsidRPr="00065B2E" w:rsidRDefault="00D8287E">
          <w:pPr>
            <w:pStyle w:val="Header"/>
            <w:rPr>
              <w:b/>
            </w:rPr>
          </w:pPr>
        </w:p>
        <w:p w14:paraId="01B4D7AF" w14:textId="24FA6463" w:rsidR="00D8287E" w:rsidRDefault="00D8287E" w:rsidP="008D29F9">
          <w:pPr>
            <w:pStyle w:val="Header"/>
            <w:jc w:val="right"/>
          </w:pPr>
        </w:p>
      </w:tc>
    </w:tr>
  </w:tbl>
  <w:p w14:paraId="0041419C" w14:textId="77777777" w:rsidR="00D8287E" w:rsidRDefault="00D82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8E9"/>
    <w:multiLevelType w:val="hybridMultilevel"/>
    <w:tmpl w:val="031E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01B5F"/>
    <w:multiLevelType w:val="hybridMultilevel"/>
    <w:tmpl w:val="6E6C9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B3C5F"/>
    <w:multiLevelType w:val="hybridMultilevel"/>
    <w:tmpl w:val="1FD0F8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5D5673"/>
    <w:multiLevelType w:val="hybridMultilevel"/>
    <w:tmpl w:val="75FCD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D26F6"/>
    <w:multiLevelType w:val="hybridMultilevel"/>
    <w:tmpl w:val="CD6C1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84086"/>
    <w:multiLevelType w:val="multilevel"/>
    <w:tmpl w:val="912E1DA4"/>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 w15:restartNumberingAfterBreak="0">
    <w:nsid w:val="0DD014DE"/>
    <w:multiLevelType w:val="hybridMultilevel"/>
    <w:tmpl w:val="7E20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238CD"/>
    <w:multiLevelType w:val="hybridMultilevel"/>
    <w:tmpl w:val="8F94BFE0"/>
    <w:lvl w:ilvl="0" w:tplc="C2E205D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161E2"/>
    <w:multiLevelType w:val="hybridMultilevel"/>
    <w:tmpl w:val="E38C2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471A42"/>
    <w:multiLevelType w:val="hybridMultilevel"/>
    <w:tmpl w:val="017E7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5A701E"/>
    <w:multiLevelType w:val="hybridMultilevel"/>
    <w:tmpl w:val="1FAE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91915"/>
    <w:multiLevelType w:val="multilevel"/>
    <w:tmpl w:val="F31C3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74364B"/>
    <w:multiLevelType w:val="hybridMultilevel"/>
    <w:tmpl w:val="568A3DC0"/>
    <w:lvl w:ilvl="0" w:tplc="08090001">
      <w:start w:val="1"/>
      <w:numFmt w:val="bullet"/>
      <w:lvlText w:val=""/>
      <w:lvlJc w:val="left"/>
      <w:pPr>
        <w:ind w:left="745" w:hanging="360"/>
      </w:pPr>
      <w:rPr>
        <w:rFonts w:ascii="Symbol" w:hAnsi="Symbol" w:hint="default"/>
      </w:rPr>
    </w:lvl>
    <w:lvl w:ilvl="1" w:tplc="08090003">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3" w15:restartNumberingAfterBreak="0">
    <w:nsid w:val="2286187F"/>
    <w:multiLevelType w:val="hybridMultilevel"/>
    <w:tmpl w:val="CF92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32708"/>
    <w:multiLevelType w:val="hybridMultilevel"/>
    <w:tmpl w:val="20909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805439"/>
    <w:multiLevelType w:val="hybridMultilevel"/>
    <w:tmpl w:val="C0E0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F003F"/>
    <w:multiLevelType w:val="hybridMultilevel"/>
    <w:tmpl w:val="E4261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083632"/>
    <w:multiLevelType w:val="hybridMultilevel"/>
    <w:tmpl w:val="99F275B6"/>
    <w:lvl w:ilvl="0" w:tplc="01F453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431C7C"/>
    <w:multiLevelType w:val="hybridMultilevel"/>
    <w:tmpl w:val="E06C099C"/>
    <w:lvl w:ilvl="0" w:tplc="08090001">
      <w:start w:val="1"/>
      <w:numFmt w:val="bullet"/>
      <w:lvlText w:val=""/>
      <w:lvlJc w:val="left"/>
      <w:pPr>
        <w:ind w:left="1140" w:hanging="7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A003F0"/>
    <w:multiLevelType w:val="multilevel"/>
    <w:tmpl w:val="AD065B42"/>
    <w:lvl w:ilvl="0">
      <w:start w:val="3"/>
      <w:numFmt w:val="decimal"/>
      <w:lvlText w:val="%1."/>
      <w:lvlJc w:val="left"/>
      <w:pPr>
        <w:ind w:left="360" w:hanging="360"/>
      </w:pPr>
      <w:rPr>
        <w:rFonts w:hint="default"/>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2E907520"/>
    <w:multiLevelType w:val="hybridMultilevel"/>
    <w:tmpl w:val="5FFE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95098C"/>
    <w:multiLevelType w:val="hybridMultilevel"/>
    <w:tmpl w:val="FD2E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1F2DA1"/>
    <w:multiLevelType w:val="hybridMultilevel"/>
    <w:tmpl w:val="798ECA62"/>
    <w:lvl w:ilvl="0" w:tplc="08090017">
      <w:start w:val="1"/>
      <w:numFmt w:val="lowerLetter"/>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3" w15:restartNumberingAfterBreak="0">
    <w:nsid w:val="313D28CB"/>
    <w:multiLevelType w:val="hybridMultilevel"/>
    <w:tmpl w:val="7ED2D97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4444E50"/>
    <w:multiLevelType w:val="multilevel"/>
    <w:tmpl w:val="8338609C"/>
    <w:lvl w:ilvl="0">
      <w:start w:val="5"/>
      <w:numFmt w:val="decimal"/>
      <w:lvlText w:val="%1."/>
      <w:lvlJc w:val="left"/>
      <w:pPr>
        <w:ind w:left="360" w:hanging="360"/>
      </w:pPr>
      <w:rPr>
        <w:rFonts w:hint="default"/>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353443E0"/>
    <w:multiLevelType w:val="hybridMultilevel"/>
    <w:tmpl w:val="BABAF8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3E454F"/>
    <w:multiLevelType w:val="hybridMultilevel"/>
    <w:tmpl w:val="64E4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444D7F"/>
    <w:multiLevelType w:val="hybridMultilevel"/>
    <w:tmpl w:val="6E6C9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DBD3FD0"/>
    <w:multiLevelType w:val="hybridMultilevel"/>
    <w:tmpl w:val="A97800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3EF152B4"/>
    <w:multiLevelType w:val="hybridMultilevel"/>
    <w:tmpl w:val="A22CF3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456275EC"/>
    <w:multiLevelType w:val="hybridMultilevel"/>
    <w:tmpl w:val="4B72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766FBF"/>
    <w:multiLevelType w:val="hybridMultilevel"/>
    <w:tmpl w:val="A7CC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1C3913"/>
    <w:multiLevelType w:val="hybridMultilevel"/>
    <w:tmpl w:val="85E4031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3" w15:restartNumberingAfterBreak="0">
    <w:nsid w:val="51B85271"/>
    <w:multiLevelType w:val="hybridMultilevel"/>
    <w:tmpl w:val="DDE8C774"/>
    <w:lvl w:ilvl="0" w:tplc="DF9AB0E6">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A634BEBE">
      <w:start w:val="1"/>
      <w:numFmt w:val="decimal"/>
      <w:lvlText w:val="1.5.%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AB78BC"/>
    <w:multiLevelType w:val="hybridMultilevel"/>
    <w:tmpl w:val="16806BD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5" w15:restartNumberingAfterBreak="0">
    <w:nsid w:val="5DBA7C3C"/>
    <w:multiLevelType w:val="hybridMultilevel"/>
    <w:tmpl w:val="AF36356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6" w15:restartNumberingAfterBreak="0">
    <w:nsid w:val="5DF9624D"/>
    <w:multiLevelType w:val="multilevel"/>
    <w:tmpl w:val="742AF4B4"/>
    <w:lvl w:ilvl="0">
      <w:start w:val="1"/>
      <w:numFmt w:val="decimal"/>
      <w:lvlText w:val="%1"/>
      <w:lvlJc w:val="left"/>
      <w:pPr>
        <w:tabs>
          <w:tab w:val="num" w:pos="705"/>
        </w:tabs>
        <w:ind w:left="705" w:hanging="705"/>
      </w:pPr>
      <w:rPr>
        <w:rFonts w:hint="default"/>
      </w:rPr>
    </w:lvl>
    <w:lvl w:ilvl="1">
      <w:start w:val="1"/>
      <w:numFmt w:val="decimal"/>
      <w:lvlText w:val="%2.4"/>
      <w:lvlJc w:val="left"/>
      <w:pPr>
        <w:tabs>
          <w:tab w:val="num" w:pos="351"/>
        </w:tabs>
        <w:ind w:left="351" w:hanging="705"/>
      </w:pPr>
      <w:rPr>
        <w:rFonts w:hint="default"/>
      </w:rPr>
    </w:lvl>
    <w:lvl w:ilvl="2">
      <w:start w:val="1"/>
      <w:numFmt w:val="decimal"/>
      <w:lvlText w:val="1.3.%3"/>
      <w:lvlJc w:val="left"/>
      <w:pPr>
        <w:tabs>
          <w:tab w:val="num" w:pos="12"/>
        </w:tabs>
        <w:ind w:left="12" w:hanging="720"/>
      </w:pPr>
      <w:rPr>
        <w:rFonts w:hint="default"/>
      </w:rPr>
    </w:lvl>
    <w:lvl w:ilvl="3">
      <w:start w:val="1"/>
      <w:numFmt w:val="decimal"/>
      <w:lvlText w:val="%1.%2.%3.%4"/>
      <w:lvlJc w:val="left"/>
      <w:pPr>
        <w:tabs>
          <w:tab w:val="num" w:pos="-342"/>
        </w:tabs>
        <w:ind w:left="-342" w:hanging="720"/>
      </w:pPr>
      <w:rPr>
        <w:rFonts w:hint="default"/>
      </w:rPr>
    </w:lvl>
    <w:lvl w:ilvl="4">
      <w:start w:val="1"/>
      <w:numFmt w:val="decimal"/>
      <w:lvlText w:val="%1.%2.%3.%4.%5"/>
      <w:lvlJc w:val="left"/>
      <w:pPr>
        <w:tabs>
          <w:tab w:val="num" w:pos="-696"/>
        </w:tabs>
        <w:ind w:left="-696" w:hanging="720"/>
      </w:pPr>
      <w:rPr>
        <w:rFonts w:hint="default"/>
      </w:rPr>
    </w:lvl>
    <w:lvl w:ilvl="5">
      <w:start w:val="1"/>
      <w:numFmt w:val="decimal"/>
      <w:lvlText w:val="%1.%2.%3.%4.%5.%6"/>
      <w:lvlJc w:val="left"/>
      <w:pPr>
        <w:tabs>
          <w:tab w:val="num" w:pos="-690"/>
        </w:tabs>
        <w:ind w:left="-690" w:hanging="1080"/>
      </w:pPr>
      <w:rPr>
        <w:rFonts w:hint="default"/>
      </w:rPr>
    </w:lvl>
    <w:lvl w:ilvl="6">
      <w:start w:val="1"/>
      <w:numFmt w:val="decimal"/>
      <w:lvlText w:val="%1.%2.%3.%4.%5.%6.%7"/>
      <w:lvlJc w:val="left"/>
      <w:pPr>
        <w:tabs>
          <w:tab w:val="num" w:pos="-1044"/>
        </w:tabs>
        <w:ind w:left="-1044" w:hanging="1080"/>
      </w:pPr>
      <w:rPr>
        <w:rFonts w:hint="default"/>
      </w:rPr>
    </w:lvl>
    <w:lvl w:ilvl="7">
      <w:start w:val="1"/>
      <w:numFmt w:val="decimal"/>
      <w:lvlText w:val="%1.%2.%3.%4.%5.%6.%7.%8"/>
      <w:lvlJc w:val="left"/>
      <w:pPr>
        <w:tabs>
          <w:tab w:val="num" w:pos="-1038"/>
        </w:tabs>
        <w:ind w:left="-1038" w:hanging="1440"/>
      </w:pPr>
      <w:rPr>
        <w:rFonts w:hint="default"/>
      </w:rPr>
    </w:lvl>
    <w:lvl w:ilvl="8">
      <w:start w:val="1"/>
      <w:numFmt w:val="decimal"/>
      <w:lvlText w:val="%1.%2.%3.%4.%5.%6.%7.%8.%9"/>
      <w:lvlJc w:val="left"/>
      <w:pPr>
        <w:tabs>
          <w:tab w:val="num" w:pos="-1392"/>
        </w:tabs>
        <w:ind w:left="-1392" w:hanging="1440"/>
      </w:pPr>
      <w:rPr>
        <w:rFonts w:hint="default"/>
      </w:rPr>
    </w:lvl>
  </w:abstractNum>
  <w:abstractNum w:abstractNumId="37" w15:restartNumberingAfterBreak="0">
    <w:nsid w:val="5E5A5BD6"/>
    <w:multiLevelType w:val="hybridMultilevel"/>
    <w:tmpl w:val="D59C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F03C8E"/>
    <w:multiLevelType w:val="hybridMultilevel"/>
    <w:tmpl w:val="9EFE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19561A"/>
    <w:multiLevelType w:val="hybridMultilevel"/>
    <w:tmpl w:val="7F5ED24E"/>
    <w:lvl w:ilvl="0" w:tplc="48B46E5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9D52F8"/>
    <w:multiLevelType w:val="hybridMultilevel"/>
    <w:tmpl w:val="0D5CF86E"/>
    <w:lvl w:ilvl="0" w:tplc="01A464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3C744D"/>
    <w:multiLevelType w:val="multilevel"/>
    <w:tmpl w:val="5798E588"/>
    <w:lvl w:ilvl="0">
      <w:start w:val="1"/>
      <w:numFmt w:val="decimal"/>
      <w:lvlText w:val="%1."/>
      <w:lvlJc w:val="left"/>
      <w:pPr>
        <w:ind w:left="360" w:hanging="360"/>
      </w:pPr>
      <w:rPr>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54D5BAF"/>
    <w:multiLevelType w:val="hybridMultilevel"/>
    <w:tmpl w:val="331E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9121576">
    <w:abstractNumId w:val="9"/>
  </w:num>
  <w:num w:numId="2" w16cid:durableId="538930813">
    <w:abstractNumId w:val="6"/>
  </w:num>
  <w:num w:numId="3" w16cid:durableId="1463034735">
    <w:abstractNumId w:val="27"/>
  </w:num>
  <w:num w:numId="4" w16cid:durableId="354356615">
    <w:abstractNumId w:val="1"/>
  </w:num>
  <w:num w:numId="5" w16cid:durableId="898588400">
    <w:abstractNumId w:val="29"/>
  </w:num>
  <w:num w:numId="6" w16cid:durableId="11288626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7036312">
    <w:abstractNumId w:val="8"/>
  </w:num>
  <w:num w:numId="8" w16cid:durableId="107269675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3165655">
    <w:abstractNumId w:val="16"/>
  </w:num>
  <w:num w:numId="10" w16cid:durableId="2072805163">
    <w:abstractNumId w:val="41"/>
  </w:num>
  <w:num w:numId="11" w16cid:durableId="348945628">
    <w:abstractNumId w:val="39"/>
  </w:num>
  <w:num w:numId="12" w16cid:durableId="1637754881">
    <w:abstractNumId w:val="32"/>
  </w:num>
  <w:num w:numId="13" w16cid:durableId="226034964">
    <w:abstractNumId w:val="28"/>
  </w:num>
  <w:num w:numId="14" w16cid:durableId="128323467">
    <w:abstractNumId w:val="34"/>
  </w:num>
  <w:num w:numId="15" w16cid:durableId="654261527">
    <w:abstractNumId w:val="4"/>
  </w:num>
  <w:num w:numId="16" w16cid:durableId="1835993378">
    <w:abstractNumId w:val="40"/>
  </w:num>
  <w:num w:numId="17" w16cid:durableId="1410812755">
    <w:abstractNumId w:val="10"/>
  </w:num>
  <w:num w:numId="18" w16cid:durableId="1992708556">
    <w:abstractNumId w:val="20"/>
  </w:num>
  <w:num w:numId="19" w16cid:durableId="517279313">
    <w:abstractNumId w:val="2"/>
  </w:num>
  <w:num w:numId="20" w16cid:durableId="977414260">
    <w:abstractNumId w:val="3"/>
  </w:num>
  <w:num w:numId="21" w16cid:durableId="660742663">
    <w:abstractNumId w:val="14"/>
  </w:num>
  <w:num w:numId="22" w16cid:durableId="428281825">
    <w:abstractNumId w:val="12"/>
  </w:num>
  <w:num w:numId="23" w16cid:durableId="1916550149">
    <w:abstractNumId w:val="35"/>
  </w:num>
  <w:num w:numId="24" w16cid:durableId="1617103860">
    <w:abstractNumId w:val="21"/>
  </w:num>
  <w:num w:numId="25" w16cid:durableId="332150971">
    <w:abstractNumId w:val="19"/>
  </w:num>
  <w:num w:numId="26" w16cid:durableId="527138241">
    <w:abstractNumId w:val="24"/>
  </w:num>
  <w:num w:numId="27" w16cid:durableId="1769815090">
    <w:abstractNumId w:val="25"/>
  </w:num>
  <w:num w:numId="28" w16cid:durableId="432672171">
    <w:abstractNumId w:val="15"/>
  </w:num>
  <w:num w:numId="29" w16cid:durableId="1112015334">
    <w:abstractNumId w:val="17"/>
  </w:num>
  <w:num w:numId="30" w16cid:durableId="311569177">
    <w:abstractNumId w:val="7"/>
  </w:num>
  <w:num w:numId="31" w16cid:durableId="1678997543">
    <w:abstractNumId w:val="13"/>
  </w:num>
  <w:num w:numId="32" w16cid:durableId="1898861799">
    <w:abstractNumId w:val="11"/>
  </w:num>
  <w:num w:numId="33" w16cid:durableId="236206837">
    <w:abstractNumId w:val="31"/>
  </w:num>
  <w:num w:numId="34" w16cid:durableId="839004980">
    <w:abstractNumId w:val="37"/>
  </w:num>
  <w:num w:numId="35" w16cid:durableId="1777292827">
    <w:abstractNumId w:val="23"/>
  </w:num>
  <w:num w:numId="36" w16cid:durableId="747280">
    <w:abstractNumId w:val="22"/>
  </w:num>
  <w:num w:numId="37" w16cid:durableId="1422604253">
    <w:abstractNumId w:val="42"/>
  </w:num>
  <w:num w:numId="38" w16cid:durableId="1341736226">
    <w:abstractNumId w:val="0"/>
  </w:num>
  <w:num w:numId="39" w16cid:durableId="1278870049">
    <w:abstractNumId w:val="26"/>
  </w:num>
  <w:num w:numId="40" w16cid:durableId="1610694751">
    <w:abstractNumId w:val="30"/>
  </w:num>
  <w:num w:numId="41" w16cid:durableId="365252657">
    <w:abstractNumId w:val="18"/>
  </w:num>
  <w:num w:numId="42" w16cid:durableId="2045790776">
    <w:abstractNumId w:val="38"/>
  </w:num>
  <w:num w:numId="43" w16cid:durableId="1464302968">
    <w:abstractNumId w:val="36"/>
  </w:num>
  <w:num w:numId="44" w16cid:durableId="42673172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9D"/>
    <w:rsid w:val="00005FFC"/>
    <w:rsid w:val="000131CE"/>
    <w:rsid w:val="000233C4"/>
    <w:rsid w:val="0002353D"/>
    <w:rsid w:val="000248E2"/>
    <w:rsid w:val="00027146"/>
    <w:rsid w:val="000272FE"/>
    <w:rsid w:val="0003231F"/>
    <w:rsid w:val="00033179"/>
    <w:rsid w:val="00036407"/>
    <w:rsid w:val="000365E4"/>
    <w:rsid w:val="00043F0A"/>
    <w:rsid w:val="00064CFE"/>
    <w:rsid w:val="00065B2E"/>
    <w:rsid w:val="00081CFD"/>
    <w:rsid w:val="00082B4C"/>
    <w:rsid w:val="00085357"/>
    <w:rsid w:val="00091BAA"/>
    <w:rsid w:val="00092C5F"/>
    <w:rsid w:val="000954BA"/>
    <w:rsid w:val="000A151D"/>
    <w:rsid w:val="000A4A05"/>
    <w:rsid w:val="000B15AD"/>
    <w:rsid w:val="000B1A3F"/>
    <w:rsid w:val="000B5BB5"/>
    <w:rsid w:val="000C0EAA"/>
    <w:rsid w:val="000C5FC2"/>
    <w:rsid w:val="000C66C0"/>
    <w:rsid w:val="000C73DE"/>
    <w:rsid w:val="000D443D"/>
    <w:rsid w:val="000E045A"/>
    <w:rsid w:val="000F2418"/>
    <w:rsid w:val="00100276"/>
    <w:rsid w:val="0010178D"/>
    <w:rsid w:val="00103890"/>
    <w:rsid w:val="00107CD4"/>
    <w:rsid w:val="00114785"/>
    <w:rsid w:val="0012663F"/>
    <w:rsid w:val="00131E17"/>
    <w:rsid w:val="00136940"/>
    <w:rsid w:val="00151BE4"/>
    <w:rsid w:val="00155520"/>
    <w:rsid w:val="0016089C"/>
    <w:rsid w:val="001616C2"/>
    <w:rsid w:val="00161E68"/>
    <w:rsid w:val="001663B1"/>
    <w:rsid w:val="001744F5"/>
    <w:rsid w:val="0018273F"/>
    <w:rsid w:val="00183AA3"/>
    <w:rsid w:val="00186620"/>
    <w:rsid w:val="00187BF2"/>
    <w:rsid w:val="001A1265"/>
    <w:rsid w:val="001A39D8"/>
    <w:rsid w:val="001A3C46"/>
    <w:rsid w:val="001A3E73"/>
    <w:rsid w:val="001B716A"/>
    <w:rsid w:val="001C22F0"/>
    <w:rsid w:val="001C3252"/>
    <w:rsid w:val="001C3575"/>
    <w:rsid w:val="001D0941"/>
    <w:rsid w:val="001D7680"/>
    <w:rsid w:val="001E3A8C"/>
    <w:rsid w:val="001E7F6B"/>
    <w:rsid w:val="001F7B32"/>
    <w:rsid w:val="00200F91"/>
    <w:rsid w:val="002010BE"/>
    <w:rsid w:val="002014E5"/>
    <w:rsid w:val="0021293B"/>
    <w:rsid w:val="00213494"/>
    <w:rsid w:val="00214C83"/>
    <w:rsid w:val="0021560B"/>
    <w:rsid w:val="00217A02"/>
    <w:rsid w:val="00224EDC"/>
    <w:rsid w:val="00230E82"/>
    <w:rsid w:val="0023111D"/>
    <w:rsid w:val="00234225"/>
    <w:rsid w:val="00234FE9"/>
    <w:rsid w:val="0023621B"/>
    <w:rsid w:val="002375BF"/>
    <w:rsid w:val="00237A86"/>
    <w:rsid w:val="0024149E"/>
    <w:rsid w:val="002418DE"/>
    <w:rsid w:val="00243748"/>
    <w:rsid w:val="00243967"/>
    <w:rsid w:val="00245958"/>
    <w:rsid w:val="00255F84"/>
    <w:rsid w:val="00261A4E"/>
    <w:rsid w:val="0027790A"/>
    <w:rsid w:val="00284156"/>
    <w:rsid w:val="00290425"/>
    <w:rsid w:val="00290E12"/>
    <w:rsid w:val="00294B28"/>
    <w:rsid w:val="00297284"/>
    <w:rsid w:val="002A0ADA"/>
    <w:rsid w:val="002B1AF2"/>
    <w:rsid w:val="002C1FE8"/>
    <w:rsid w:val="002D56F7"/>
    <w:rsid w:val="002D68DB"/>
    <w:rsid w:val="002E5C02"/>
    <w:rsid w:val="002E6560"/>
    <w:rsid w:val="002E6672"/>
    <w:rsid w:val="002E7723"/>
    <w:rsid w:val="002E7765"/>
    <w:rsid w:val="002E78EA"/>
    <w:rsid w:val="002F28E3"/>
    <w:rsid w:val="0030315B"/>
    <w:rsid w:val="0030449A"/>
    <w:rsid w:val="00304D4D"/>
    <w:rsid w:val="00305F5F"/>
    <w:rsid w:val="0031146C"/>
    <w:rsid w:val="00321CCD"/>
    <w:rsid w:val="003274BE"/>
    <w:rsid w:val="003275A5"/>
    <w:rsid w:val="00330451"/>
    <w:rsid w:val="00330694"/>
    <w:rsid w:val="00331D1A"/>
    <w:rsid w:val="0034304C"/>
    <w:rsid w:val="00351148"/>
    <w:rsid w:val="00352321"/>
    <w:rsid w:val="003554E2"/>
    <w:rsid w:val="00356A03"/>
    <w:rsid w:val="0036081F"/>
    <w:rsid w:val="0036141A"/>
    <w:rsid w:val="00361E81"/>
    <w:rsid w:val="003632BE"/>
    <w:rsid w:val="00371424"/>
    <w:rsid w:val="0037162F"/>
    <w:rsid w:val="00371726"/>
    <w:rsid w:val="00382DF9"/>
    <w:rsid w:val="00384A9D"/>
    <w:rsid w:val="00387027"/>
    <w:rsid w:val="00394472"/>
    <w:rsid w:val="00394B3E"/>
    <w:rsid w:val="003A0A9D"/>
    <w:rsid w:val="003A2B5D"/>
    <w:rsid w:val="003A5D19"/>
    <w:rsid w:val="003A73B5"/>
    <w:rsid w:val="003B084D"/>
    <w:rsid w:val="003B19B7"/>
    <w:rsid w:val="003B4F8C"/>
    <w:rsid w:val="003B5E36"/>
    <w:rsid w:val="003C16C3"/>
    <w:rsid w:val="003C6D5F"/>
    <w:rsid w:val="003C7567"/>
    <w:rsid w:val="003D4B5A"/>
    <w:rsid w:val="003F1B95"/>
    <w:rsid w:val="003F20E3"/>
    <w:rsid w:val="003F36E4"/>
    <w:rsid w:val="003F6332"/>
    <w:rsid w:val="003F63BE"/>
    <w:rsid w:val="003F6A3C"/>
    <w:rsid w:val="0040099B"/>
    <w:rsid w:val="004030EB"/>
    <w:rsid w:val="00404700"/>
    <w:rsid w:val="00411009"/>
    <w:rsid w:val="004231F7"/>
    <w:rsid w:val="00425277"/>
    <w:rsid w:val="00431BBC"/>
    <w:rsid w:val="00440536"/>
    <w:rsid w:val="0044094F"/>
    <w:rsid w:val="004432CA"/>
    <w:rsid w:val="00446937"/>
    <w:rsid w:val="00446A94"/>
    <w:rsid w:val="004473BF"/>
    <w:rsid w:val="00451FAB"/>
    <w:rsid w:val="00454D3C"/>
    <w:rsid w:val="00464861"/>
    <w:rsid w:val="00466057"/>
    <w:rsid w:val="004715EF"/>
    <w:rsid w:val="00473C07"/>
    <w:rsid w:val="00474801"/>
    <w:rsid w:val="00475195"/>
    <w:rsid w:val="004810CF"/>
    <w:rsid w:val="00486F18"/>
    <w:rsid w:val="00487FB3"/>
    <w:rsid w:val="00493C77"/>
    <w:rsid w:val="00493D01"/>
    <w:rsid w:val="004968E0"/>
    <w:rsid w:val="00496DCF"/>
    <w:rsid w:val="004A0ABD"/>
    <w:rsid w:val="004A35C4"/>
    <w:rsid w:val="004A3672"/>
    <w:rsid w:val="004A38B2"/>
    <w:rsid w:val="004B02A2"/>
    <w:rsid w:val="004B1DCA"/>
    <w:rsid w:val="004B2B04"/>
    <w:rsid w:val="004B423C"/>
    <w:rsid w:val="004B469B"/>
    <w:rsid w:val="004C59B6"/>
    <w:rsid w:val="004C6F49"/>
    <w:rsid w:val="004D742C"/>
    <w:rsid w:val="004E05FA"/>
    <w:rsid w:val="004E2142"/>
    <w:rsid w:val="004F1243"/>
    <w:rsid w:val="004F7490"/>
    <w:rsid w:val="00502503"/>
    <w:rsid w:val="00506EFF"/>
    <w:rsid w:val="00510C9B"/>
    <w:rsid w:val="0051250E"/>
    <w:rsid w:val="00520B1D"/>
    <w:rsid w:val="005217BE"/>
    <w:rsid w:val="005217DA"/>
    <w:rsid w:val="00521DB0"/>
    <w:rsid w:val="00524A84"/>
    <w:rsid w:val="0052545A"/>
    <w:rsid w:val="00526073"/>
    <w:rsid w:val="00537F58"/>
    <w:rsid w:val="00547312"/>
    <w:rsid w:val="00554D1E"/>
    <w:rsid w:val="00560778"/>
    <w:rsid w:val="005621B9"/>
    <w:rsid w:val="00567B64"/>
    <w:rsid w:val="00580B36"/>
    <w:rsid w:val="005865F5"/>
    <w:rsid w:val="005917D0"/>
    <w:rsid w:val="005A2832"/>
    <w:rsid w:val="005A2A75"/>
    <w:rsid w:val="005A2D70"/>
    <w:rsid w:val="005A7FA3"/>
    <w:rsid w:val="005B4989"/>
    <w:rsid w:val="005B6263"/>
    <w:rsid w:val="005B641E"/>
    <w:rsid w:val="005C06BA"/>
    <w:rsid w:val="005C777A"/>
    <w:rsid w:val="005C7931"/>
    <w:rsid w:val="005D1BD4"/>
    <w:rsid w:val="005D40B6"/>
    <w:rsid w:val="005D4ED4"/>
    <w:rsid w:val="005E2619"/>
    <w:rsid w:val="005E67B9"/>
    <w:rsid w:val="005F2177"/>
    <w:rsid w:val="005F4B1C"/>
    <w:rsid w:val="005F6502"/>
    <w:rsid w:val="0060432F"/>
    <w:rsid w:val="00617E11"/>
    <w:rsid w:val="00623794"/>
    <w:rsid w:val="00625E04"/>
    <w:rsid w:val="00630178"/>
    <w:rsid w:val="00635C02"/>
    <w:rsid w:val="00635C8F"/>
    <w:rsid w:val="00647616"/>
    <w:rsid w:val="00647F05"/>
    <w:rsid w:val="006505F7"/>
    <w:rsid w:val="00660BD2"/>
    <w:rsid w:val="00667B67"/>
    <w:rsid w:val="006A1E02"/>
    <w:rsid w:val="006B0999"/>
    <w:rsid w:val="006B7B18"/>
    <w:rsid w:val="006C3182"/>
    <w:rsid w:val="006C487B"/>
    <w:rsid w:val="006C500C"/>
    <w:rsid w:val="006C73E7"/>
    <w:rsid w:val="006D0014"/>
    <w:rsid w:val="006D1FF5"/>
    <w:rsid w:val="006D3FE4"/>
    <w:rsid w:val="006D68E2"/>
    <w:rsid w:val="006E37B5"/>
    <w:rsid w:val="006E4C17"/>
    <w:rsid w:val="006E625C"/>
    <w:rsid w:val="006F2377"/>
    <w:rsid w:val="006F4C92"/>
    <w:rsid w:val="006F7535"/>
    <w:rsid w:val="00701A37"/>
    <w:rsid w:val="00713C93"/>
    <w:rsid w:val="0071466B"/>
    <w:rsid w:val="007275BA"/>
    <w:rsid w:val="007354F4"/>
    <w:rsid w:val="007367DB"/>
    <w:rsid w:val="0074681F"/>
    <w:rsid w:val="00750881"/>
    <w:rsid w:val="00757E79"/>
    <w:rsid w:val="007738BF"/>
    <w:rsid w:val="0078484D"/>
    <w:rsid w:val="00791888"/>
    <w:rsid w:val="00797AE0"/>
    <w:rsid w:val="007A47FA"/>
    <w:rsid w:val="007A6718"/>
    <w:rsid w:val="007B136E"/>
    <w:rsid w:val="007B3D88"/>
    <w:rsid w:val="007C6E91"/>
    <w:rsid w:val="007D067E"/>
    <w:rsid w:val="007D5A5C"/>
    <w:rsid w:val="007D7ECA"/>
    <w:rsid w:val="008007D1"/>
    <w:rsid w:val="00802169"/>
    <w:rsid w:val="00802403"/>
    <w:rsid w:val="00802608"/>
    <w:rsid w:val="008058B3"/>
    <w:rsid w:val="008062A0"/>
    <w:rsid w:val="00816108"/>
    <w:rsid w:val="008316BC"/>
    <w:rsid w:val="008339C0"/>
    <w:rsid w:val="008343F2"/>
    <w:rsid w:val="00840711"/>
    <w:rsid w:val="00847616"/>
    <w:rsid w:val="0084794A"/>
    <w:rsid w:val="008630A6"/>
    <w:rsid w:val="00863B45"/>
    <w:rsid w:val="00866CBE"/>
    <w:rsid w:val="0086707F"/>
    <w:rsid w:val="00867846"/>
    <w:rsid w:val="008715D0"/>
    <w:rsid w:val="008741C9"/>
    <w:rsid w:val="00875BD2"/>
    <w:rsid w:val="00876794"/>
    <w:rsid w:val="00884025"/>
    <w:rsid w:val="008907B7"/>
    <w:rsid w:val="008A1DA7"/>
    <w:rsid w:val="008A372B"/>
    <w:rsid w:val="008B3733"/>
    <w:rsid w:val="008C4B0B"/>
    <w:rsid w:val="008D29F9"/>
    <w:rsid w:val="008E0371"/>
    <w:rsid w:val="008E31FD"/>
    <w:rsid w:val="008E5D98"/>
    <w:rsid w:val="008F045B"/>
    <w:rsid w:val="008F0949"/>
    <w:rsid w:val="008F3E23"/>
    <w:rsid w:val="009004F8"/>
    <w:rsid w:val="009031F9"/>
    <w:rsid w:val="00904550"/>
    <w:rsid w:val="00905F39"/>
    <w:rsid w:val="00916D57"/>
    <w:rsid w:val="00917223"/>
    <w:rsid w:val="00917C86"/>
    <w:rsid w:val="0092034B"/>
    <w:rsid w:val="00935E7B"/>
    <w:rsid w:val="00951EB7"/>
    <w:rsid w:val="00952BBD"/>
    <w:rsid w:val="0096128B"/>
    <w:rsid w:val="00963889"/>
    <w:rsid w:val="00971E98"/>
    <w:rsid w:val="00976AD3"/>
    <w:rsid w:val="00997045"/>
    <w:rsid w:val="009A1BFE"/>
    <w:rsid w:val="009A3184"/>
    <w:rsid w:val="009A4569"/>
    <w:rsid w:val="009B1201"/>
    <w:rsid w:val="009B43DB"/>
    <w:rsid w:val="009C31CB"/>
    <w:rsid w:val="009C786F"/>
    <w:rsid w:val="009D1682"/>
    <w:rsid w:val="009D2A74"/>
    <w:rsid w:val="009E0074"/>
    <w:rsid w:val="009E1813"/>
    <w:rsid w:val="009F03E2"/>
    <w:rsid w:val="009F081B"/>
    <w:rsid w:val="009F0E9C"/>
    <w:rsid w:val="009F53A8"/>
    <w:rsid w:val="009F5FC9"/>
    <w:rsid w:val="00A0395C"/>
    <w:rsid w:val="00A053A4"/>
    <w:rsid w:val="00A20F4E"/>
    <w:rsid w:val="00A32256"/>
    <w:rsid w:val="00A413EC"/>
    <w:rsid w:val="00A4266B"/>
    <w:rsid w:val="00A46144"/>
    <w:rsid w:val="00A4627D"/>
    <w:rsid w:val="00A470DD"/>
    <w:rsid w:val="00A55F9A"/>
    <w:rsid w:val="00A6203E"/>
    <w:rsid w:val="00A664E0"/>
    <w:rsid w:val="00A74E46"/>
    <w:rsid w:val="00A906A9"/>
    <w:rsid w:val="00A95D98"/>
    <w:rsid w:val="00AA217B"/>
    <w:rsid w:val="00AA2C88"/>
    <w:rsid w:val="00AA46C1"/>
    <w:rsid w:val="00AA4A1A"/>
    <w:rsid w:val="00AA6887"/>
    <w:rsid w:val="00AA72C5"/>
    <w:rsid w:val="00AC0532"/>
    <w:rsid w:val="00AD1F8C"/>
    <w:rsid w:val="00AD478C"/>
    <w:rsid w:val="00AD5F5E"/>
    <w:rsid w:val="00AD6340"/>
    <w:rsid w:val="00AD773A"/>
    <w:rsid w:val="00AE262B"/>
    <w:rsid w:val="00AE7D1C"/>
    <w:rsid w:val="00AF67AA"/>
    <w:rsid w:val="00B15998"/>
    <w:rsid w:val="00B16456"/>
    <w:rsid w:val="00B23214"/>
    <w:rsid w:val="00B25D55"/>
    <w:rsid w:val="00B32C7D"/>
    <w:rsid w:val="00B356AA"/>
    <w:rsid w:val="00B406B1"/>
    <w:rsid w:val="00B408A5"/>
    <w:rsid w:val="00B5336D"/>
    <w:rsid w:val="00B62F09"/>
    <w:rsid w:val="00B726E8"/>
    <w:rsid w:val="00B73372"/>
    <w:rsid w:val="00B80AD4"/>
    <w:rsid w:val="00B812B3"/>
    <w:rsid w:val="00B816BE"/>
    <w:rsid w:val="00B87399"/>
    <w:rsid w:val="00B961D2"/>
    <w:rsid w:val="00BA2C20"/>
    <w:rsid w:val="00BA676F"/>
    <w:rsid w:val="00BB1716"/>
    <w:rsid w:val="00BB5900"/>
    <w:rsid w:val="00BC6CBD"/>
    <w:rsid w:val="00BD6614"/>
    <w:rsid w:val="00BD7E32"/>
    <w:rsid w:val="00BE54D1"/>
    <w:rsid w:val="00BF5F6D"/>
    <w:rsid w:val="00C0404B"/>
    <w:rsid w:val="00C07265"/>
    <w:rsid w:val="00C12CCF"/>
    <w:rsid w:val="00C13964"/>
    <w:rsid w:val="00C20573"/>
    <w:rsid w:val="00C21B5A"/>
    <w:rsid w:val="00C2206D"/>
    <w:rsid w:val="00C3534B"/>
    <w:rsid w:val="00C37926"/>
    <w:rsid w:val="00C40D56"/>
    <w:rsid w:val="00C536D0"/>
    <w:rsid w:val="00C556BD"/>
    <w:rsid w:val="00C62C0A"/>
    <w:rsid w:val="00C715B7"/>
    <w:rsid w:val="00C724F6"/>
    <w:rsid w:val="00C742DD"/>
    <w:rsid w:val="00C76216"/>
    <w:rsid w:val="00C76DAC"/>
    <w:rsid w:val="00C84B5D"/>
    <w:rsid w:val="00C84C8A"/>
    <w:rsid w:val="00C90A28"/>
    <w:rsid w:val="00C92C7A"/>
    <w:rsid w:val="00C94E7E"/>
    <w:rsid w:val="00CA0E3E"/>
    <w:rsid w:val="00CB20D1"/>
    <w:rsid w:val="00CB3370"/>
    <w:rsid w:val="00CB58AC"/>
    <w:rsid w:val="00CC09ED"/>
    <w:rsid w:val="00CC1ADB"/>
    <w:rsid w:val="00CC3DA4"/>
    <w:rsid w:val="00CD1A02"/>
    <w:rsid w:val="00CD1E96"/>
    <w:rsid w:val="00CD2C50"/>
    <w:rsid w:val="00CE24AF"/>
    <w:rsid w:val="00CE2618"/>
    <w:rsid w:val="00CE3196"/>
    <w:rsid w:val="00CE6E0C"/>
    <w:rsid w:val="00CF0385"/>
    <w:rsid w:val="00CF54BE"/>
    <w:rsid w:val="00CF5F95"/>
    <w:rsid w:val="00D04421"/>
    <w:rsid w:val="00D069DE"/>
    <w:rsid w:val="00D11410"/>
    <w:rsid w:val="00D22EE9"/>
    <w:rsid w:val="00D30A2A"/>
    <w:rsid w:val="00D30C07"/>
    <w:rsid w:val="00D3293A"/>
    <w:rsid w:val="00D405D5"/>
    <w:rsid w:val="00D40F95"/>
    <w:rsid w:val="00D4136D"/>
    <w:rsid w:val="00D4352F"/>
    <w:rsid w:val="00D44FD7"/>
    <w:rsid w:val="00D47814"/>
    <w:rsid w:val="00D51344"/>
    <w:rsid w:val="00D518C7"/>
    <w:rsid w:val="00D67C66"/>
    <w:rsid w:val="00D74076"/>
    <w:rsid w:val="00D74870"/>
    <w:rsid w:val="00D8287E"/>
    <w:rsid w:val="00D8464A"/>
    <w:rsid w:val="00D8476C"/>
    <w:rsid w:val="00D86EEA"/>
    <w:rsid w:val="00D95912"/>
    <w:rsid w:val="00DA5898"/>
    <w:rsid w:val="00DC3A35"/>
    <w:rsid w:val="00DC3F5D"/>
    <w:rsid w:val="00DC41B1"/>
    <w:rsid w:val="00DE6697"/>
    <w:rsid w:val="00DF2447"/>
    <w:rsid w:val="00DF4888"/>
    <w:rsid w:val="00E004FF"/>
    <w:rsid w:val="00E02B86"/>
    <w:rsid w:val="00E0405D"/>
    <w:rsid w:val="00E07B7A"/>
    <w:rsid w:val="00E11753"/>
    <w:rsid w:val="00E12936"/>
    <w:rsid w:val="00E1410E"/>
    <w:rsid w:val="00E22777"/>
    <w:rsid w:val="00E2559C"/>
    <w:rsid w:val="00E25DE7"/>
    <w:rsid w:val="00E34199"/>
    <w:rsid w:val="00E464EE"/>
    <w:rsid w:val="00E47C5D"/>
    <w:rsid w:val="00E511F1"/>
    <w:rsid w:val="00E5280D"/>
    <w:rsid w:val="00E52B2F"/>
    <w:rsid w:val="00E622FA"/>
    <w:rsid w:val="00E6577F"/>
    <w:rsid w:val="00E721B9"/>
    <w:rsid w:val="00E72D82"/>
    <w:rsid w:val="00E81CAB"/>
    <w:rsid w:val="00E83D06"/>
    <w:rsid w:val="00E84CFE"/>
    <w:rsid w:val="00E92C8B"/>
    <w:rsid w:val="00E9435C"/>
    <w:rsid w:val="00E94AFC"/>
    <w:rsid w:val="00EA4277"/>
    <w:rsid w:val="00EB11C4"/>
    <w:rsid w:val="00EB5179"/>
    <w:rsid w:val="00EC0B9F"/>
    <w:rsid w:val="00EC3DFC"/>
    <w:rsid w:val="00EC786B"/>
    <w:rsid w:val="00ED1434"/>
    <w:rsid w:val="00ED5E8F"/>
    <w:rsid w:val="00EE5311"/>
    <w:rsid w:val="00EF1486"/>
    <w:rsid w:val="00EF2D6C"/>
    <w:rsid w:val="00F01149"/>
    <w:rsid w:val="00F01DD3"/>
    <w:rsid w:val="00F03943"/>
    <w:rsid w:val="00F11482"/>
    <w:rsid w:val="00F17648"/>
    <w:rsid w:val="00F260DA"/>
    <w:rsid w:val="00F26449"/>
    <w:rsid w:val="00F26DC8"/>
    <w:rsid w:val="00F3095A"/>
    <w:rsid w:val="00F40D32"/>
    <w:rsid w:val="00F44DB8"/>
    <w:rsid w:val="00F52239"/>
    <w:rsid w:val="00F5413E"/>
    <w:rsid w:val="00F56AFC"/>
    <w:rsid w:val="00F60D5F"/>
    <w:rsid w:val="00F621D5"/>
    <w:rsid w:val="00F87223"/>
    <w:rsid w:val="00F918FA"/>
    <w:rsid w:val="00F929EF"/>
    <w:rsid w:val="00F934E2"/>
    <w:rsid w:val="00F93C4E"/>
    <w:rsid w:val="00F943F6"/>
    <w:rsid w:val="00F97AC1"/>
    <w:rsid w:val="00F97E05"/>
    <w:rsid w:val="00FA4655"/>
    <w:rsid w:val="00FA5A28"/>
    <w:rsid w:val="00FA7A85"/>
    <w:rsid w:val="00FB69DB"/>
    <w:rsid w:val="00FC290D"/>
    <w:rsid w:val="00FC3871"/>
    <w:rsid w:val="00FC3F82"/>
    <w:rsid w:val="00FC5038"/>
    <w:rsid w:val="00FE06AC"/>
    <w:rsid w:val="00FF07D1"/>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01BC94"/>
  <w15:docId w15:val="{B26F238B-F1ED-4E47-89B4-B2F9C40F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D8287E"/>
    <w:pPr>
      <w:keepNext/>
      <w:spacing w:after="0" w:line="24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basedOn w:val="DefaultParagraphFont"/>
    <w:link w:val="Heading3"/>
    <w:rsid w:val="00D8287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21560B"/>
    <w:rPr>
      <w:sz w:val="16"/>
      <w:szCs w:val="16"/>
    </w:rPr>
  </w:style>
  <w:style w:type="paragraph" w:styleId="CommentText">
    <w:name w:val="annotation text"/>
    <w:basedOn w:val="Normal"/>
    <w:link w:val="CommentTextChar"/>
    <w:uiPriority w:val="99"/>
    <w:semiHidden/>
    <w:unhideWhenUsed/>
    <w:rsid w:val="0021560B"/>
    <w:pPr>
      <w:spacing w:line="240" w:lineRule="auto"/>
    </w:pPr>
    <w:rPr>
      <w:sz w:val="20"/>
      <w:szCs w:val="20"/>
    </w:rPr>
  </w:style>
  <w:style w:type="character" w:customStyle="1" w:styleId="CommentTextChar">
    <w:name w:val="Comment Text Char"/>
    <w:basedOn w:val="DefaultParagraphFont"/>
    <w:link w:val="CommentText"/>
    <w:uiPriority w:val="99"/>
    <w:semiHidden/>
    <w:rsid w:val="0021560B"/>
    <w:rPr>
      <w:sz w:val="20"/>
      <w:szCs w:val="20"/>
    </w:rPr>
  </w:style>
  <w:style w:type="paragraph" w:styleId="CommentSubject">
    <w:name w:val="annotation subject"/>
    <w:basedOn w:val="CommentText"/>
    <w:next w:val="CommentText"/>
    <w:link w:val="CommentSubjectChar"/>
    <w:uiPriority w:val="99"/>
    <w:semiHidden/>
    <w:unhideWhenUsed/>
    <w:rsid w:val="0021560B"/>
    <w:rPr>
      <w:b/>
      <w:bCs/>
    </w:rPr>
  </w:style>
  <w:style w:type="character" w:customStyle="1" w:styleId="CommentSubjectChar">
    <w:name w:val="Comment Subject Char"/>
    <w:basedOn w:val="CommentTextChar"/>
    <w:link w:val="CommentSubject"/>
    <w:uiPriority w:val="99"/>
    <w:semiHidden/>
    <w:rsid w:val="0021560B"/>
    <w:rPr>
      <w:b/>
      <w:bCs/>
      <w:sz w:val="20"/>
      <w:szCs w:val="20"/>
    </w:rPr>
  </w:style>
  <w:style w:type="paragraph" w:customStyle="1" w:styleId="Default">
    <w:name w:val="Default"/>
    <w:rsid w:val="00FC38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92912975">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09979405">
      <w:bodyDiv w:val="1"/>
      <w:marLeft w:val="0"/>
      <w:marRight w:val="0"/>
      <w:marTop w:val="0"/>
      <w:marBottom w:val="0"/>
      <w:divBdr>
        <w:top w:val="none" w:sz="0" w:space="0" w:color="auto"/>
        <w:left w:val="none" w:sz="0" w:space="0" w:color="auto"/>
        <w:bottom w:val="none" w:sz="0" w:space="0" w:color="auto"/>
        <w:right w:val="none" w:sz="0" w:space="0" w:color="auto"/>
      </w:divBdr>
    </w:div>
    <w:div w:id="99583940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51213295">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184250874">
      <w:bodyDiv w:val="1"/>
      <w:marLeft w:val="0"/>
      <w:marRight w:val="0"/>
      <w:marTop w:val="0"/>
      <w:marBottom w:val="0"/>
      <w:divBdr>
        <w:top w:val="none" w:sz="0" w:space="0" w:color="auto"/>
        <w:left w:val="none" w:sz="0" w:space="0" w:color="auto"/>
        <w:bottom w:val="none" w:sz="0" w:space="0" w:color="auto"/>
        <w:right w:val="none" w:sz="0" w:space="0" w:color="auto"/>
      </w:divBdr>
    </w:div>
    <w:div w:id="1244756301">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484663419">
      <w:bodyDiv w:val="1"/>
      <w:marLeft w:val="0"/>
      <w:marRight w:val="0"/>
      <w:marTop w:val="0"/>
      <w:marBottom w:val="0"/>
      <w:divBdr>
        <w:top w:val="none" w:sz="0" w:space="0" w:color="auto"/>
        <w:left w:val="none" w:sz="0" w:space="0" w:color="auto"/>
        <w:bottom w:val="none" w:sz="0" w:space="0" w:color="auto"/>
        <w:right w:val="none" w:sz="0" w:space="0" w:color="auto"/>
      </w:divBdr>
    </w:div>
    <w:div w:id="1555775547">
      <w:bodyDiv w:val="1"/>
      <w:marLeft w:val="0"/>
      <w:marRight w:val="0"/>
      <w:marTop w:val="0"/>
      <w:marBottom w:val="0"/>
      <w:divBdr>
        <w:top w:val="none" w:sz="0" w:space="0" w:color="auto"/>
        <w:left w:val="none" w:sz="0" w:space="0" w:color="auto"/>
        <w:bottom w:val="none" w:sz="0" w:space="0" w:color="auto"/>
        <w:right w:val="none" w:sz="0" w:space="0" w:color="auto"/>
      </w:divBdr>
    </w:div>
    <w:div w:id="1634872776">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24487034">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75619796">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e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noFill/>
      </dgm:spPr>
      <dgm:t>
        <a:bodyPr vert="vert"/>
        <a:lstStyle/>
        <a:p>
          <a:r>
            <a:rPr lang="en-GB" sz="2400" b="1"/>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80B83DE8-BD52-4D8D-BE74-FB629842D1B3}">
      <dgm:prSet custT="1"/>
      <dgm:spPr>
        <a:noFill/>
      </dgm:spPr>
      <dgm:t>
        <a:bodyPr vert="vert"/>
        <a:lstStyle/>
        <a:p>
          <a:r>
            <a:rPr lang="en-GB" sz="2400" b="1"/>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noFill/>
      </dgm:spPr>
      <dgm:t>
        <a:bodyPr vert="vert"/>
        <a:lstStyle/>
        <a:p>
          <a:r>
            <a:rPr lang="en-GB" sz="2400" b="1"/>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3" custScaleX="111369">
        <dgm:presLayoutVars>
          <dgm:bulletEnabled val="1"/>
        </dgm:presLayoutVars>
      </dgm:prSet>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3">
        <dgm:presLayoutVars>
          <dgm:bulletEnabled val="1"/>
        </dgm:presLayoutVars>
      </dgm:prSet>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3">
        <dgm:presLayoutVars>
          <dgm:bulletEnabled val="1"/>
        </dgm:presLayoutVars>
      </dgm:prSet>
      <dgm:spPr/>
    </dgm:pt>
  </dgm:ptLst>
  <dgm:cxnLst>
    <dgm:cxn modelId="{4ED5D00D-BB42-4F42-86BD-DD51BEF0E4BA}" srcId="{CB7FE235-B59D-4D20-89F3-8A95C27B4D9F}" destId="{2C096509-6A34-4FE5-B163-810957772B85}" srcOrd="0" destOrd="0" parTransId="{D5A82CF3-6EB0-4522-864B-FB71361B8D21}" sibTransId="{AAFA1C5F-1A16-4CD0-9C0C-CEED3D921962}"/>
    <dgm:cxn modelId="{E53FD221-44FA-482E-AF89-31AFC93BD1FB}" type="presOf" srcId="{68F0CF12-53E2-454A-8132-C709CA470980}" destId="{0DAD38B1-3B99-4955-A23C-D1E5D2FE2855}" srcOrd="0" destOrd="0" presId="urn:diagrams.loki3.com/VaryingWidthList+Icon"/>
    <dgm:cxn modelId="{96471347-777E-4215-A972-0EF2C4C9B8DC}" type="presOf" srcId="{2C096509-6A34-4FE5-B163-810957772B85}" destId="{98E158BD-4ED9-4C52-8E91-D3A1D0AD6381}" srcOrd="0" destOrd="0" presId="urn:diagrams.loki3.com/VaryingWidthList+Icon"/>
    <dgm:cxn modelId="{01E84551-E938-4FCE-B001-7D859D8AA602}" type="presOf" srcId="{CB7FE235-B59D-4D20-89F3-8A95C27B4D9F}" destId="{84796A7E-FC5F-4AF9-8640-1B2B848792A5}" srcOrd="0" destOrd="0" presId="urn:diagrams.loki3.com/VaryingWidthList+Icon"/>
    <dgm:cxn modelId="{7F08DC9E-8AB5-4F3B-8457-088970442516}" srcId="{CB7FE235-B59D-4D20-89F3-8A95C27B4D9F}" destId="{80B83DE8-BD52-4D8D-BE74-FB629842D1B3}" srcOrd="2" destOrd="0" parTransId="{5CBD381E-23B9-4AF1-B05F-294F9ADD0540}" sibTransId="{01D2CABE-5B83-41FA-B602-88FCC91DA662}"/>
    <dgm:cxn modelId="{6F3BE9B3-8576-4A6F-ACB9-E2691DB7A570}" type="presOf" srcId="{80B83DE8-BD52-4D8D-BE74-FB629842D1B3}" destId="{BF78A061-0E29-4DAD-9E99-510FFCFA0874}"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4BDF1EC3-10FB-434D-AE00-B485FDB81A29}" type="presParOf" srcId="{84796A7E-FC5F-4AF9-8640-1B2B848792A5}" destId="{98E158BD-4ED9-4C52-8E91-D3A1D0AD6381}" srcOrd="0" destOrd="0" presId="urn:diagrams.loki3.com/VaryingWidthList+Icon"/>
    <dgm:cxn modelId="{0572FC04-D34A-4CB8-9E6F-AE03EFFB349C}" type="presParOf" srcId="{84796A7E-FC5F-4AF9-8640-1B2B848792A5}" destId="{94AD69C5-FF91-40D0-82AB-2EF1AB654A07}" srcOrd="1" destOrd="0" presId="urn:diagrams.loki3.com/VaryingWidthList+Icon"/>
    <dgm:cxn modelId="{4FB743B3-C952-47EB-8B5B-224F9AAD6922}" type="presParOf" srcId="{84796A7E-FC5F-4AF9-8640-1B2B848792A5}" destId="{0DAD38B1-3B99-4955-A23C-D1E5D2FE2855}" srcOrd="2" destOrd="0" presId="urn:diagrams.loki3.com/VaryingWidthList+Icon"/>
    <dgm:cxn modelId="{51C88C7E-2EF3-4AAA-BD40-4D3D422C297E}" type="presParOf" srcId="{84796A7E-FC5F-4AF9-8640-1B2B848792A5}" destId="{95003D6B-713D-43C2-8669-468A385B0054}" srcOrd="3" destOrd="0" presId="urn:diagrams.loki3.com/VaryingWidthList+Icon"/>
    <dgm:cxn modelId="{6EBD4AD3-409E-4BE3-B7B0-06F75D32C73F}" type="presParOf" srcId="{84796A7E-FC5F-4AF9-8640-1B2B848792A5}" destId="{BF78A061-0E29-4DAD-9E99-510FFCFA0874}" srcOrd="4"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0" y="5144"/>
          <a:ext cx="792479" cy="3395364"/>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t>AGENDA </a:t>
          </a:r>
        </a:p>
      </dsp:txBody>
      <dsp:txXfrm>
        <a:off x="0" y="5144"/>
        <a:ext cx="792479" cy="3395364"/>
      </dsp:txXfrm>
    </dsp:sp>
    <dsp:sp modelId="{0DAD38B1-3B99-4955-A23C-D1E5D2FE2855}">
      <dsp:nvSpPr>
        <dsp:cNvPr id="0" name=""/>
        <dsp:cNvSpPr/>
      </dsp:nvSpPr>
      <dsp:spPr>
        <a:xfrm>
          <a:off x="36239" y="3570277"/>
          <a:ext cx="720000" cy="3395364"/>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t>OUTSTANDING ACTIONS</a:t>
          </a:r>
        </a:p>
      </dsp:txBody>
      <dsp:txXfrm>
        <a:off x="36239" y="3570277"/>
        <a:ext cx="720000" cy="3395364"/>
      </dsp:txXfrm>
    </dsp:sp>
    <dsp:sp modelId="{BF78A061-0E29-4DAD-9E99-510FFCFA0874}">
      <dsp:nvSpPr>
        <dsp:cNvPr id="0" name=""/>
        <dsp:cNvSpPr/>
      </dsp:nvSpPr>
      <dsp:spPr>
        <a:xfrm>
          <a:off x="36239" y="7135410"/>
          <a:ext cx="720000" cy="3395364"/>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t>STRATEGIC MATTERS</a:t>
          </a:r>
        </a:p>
      </dsp:txBody>
      <dsp:txXfrm>
        <a:off x="36239" y="7135410"/>
        <a:ext cx="720000" cy="3395364"/>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680F-F20C-40E2-B9BE-C64CA634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dc:creator>
  <cp:keywords/>
  <dc:description/>
  <cp:lastModifiedBy>Scott J (Julie)</cp:lastModifiedBy>
  <cp:revision>29</cp:revision>
  <cp:lastPrinted>2020-01-21T09:58:00Z</cp:lastPrinted>
  <dcterms:created xsi:type="dcterms:W3CDTF">2023-05-03T10:37:00Z</dcterms:created>
  <dcterms:modified xsi:type="dcterms:W3CDTF">2024-01-23T14:49:00Z</dcterms:modified>
</cp:coreProperties>
</file>